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2916A" w14:textId="72F192C7" w:rsidR="00BC6293" w:rsidRDefault="00EE31BA">
      <w:r>
        <w:t xml:space="preserve">Pupil Premium Expenditure 2018/19 </w:t>
      </w:r>
    </w:p>
    <w:p w14:paraId="33CD303D" w14:textId="189C4984" w:rsidR="00405253" w:rsidRDefault="00405253">
      <w:r>
        <w:t>2018-2019 Pupil Premium allocation £175,390 This included Nursery and LAC. Nursery £2,210 Non-Nursery £173180 (Information provided from finance system).</w:t>
      </w:r>
    </w:p>
    <w:tbl>
      <w:tblPr>
        <w:tblStyle w:val="TableGrid"/>
        <w:tblW w:w="14307" w:type="dxa"/>
        <w:tblInd w:w="5" w:type="dxa"/>
        <w:tblCellMar>
          <w:top w:w="3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825"/>
        <w:gridCol w:w="3969"/>
        <w:gridCol w:w="1418"/>
        <w:gridCol w:w="6095"/>
      </w:tblGrid>
      <w:tr w:rsidR="00BC6293" w14:paraId="699E2B53" w14:textId="77777777" w:rsidTr="00825F74">
        <w:trPr>
          <w:trHeight w:val="278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16514" w14:textId="77777777" w:rsidR="00BC6293" w:rsidRDefault="00EE31BA">
            <w:r>
              <w:t xml:space="preserve">Spending Focus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F7460" w14:textId="77777777" w:rsidR="00BC6293" w:rsidRDefault="00EE31BA"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064FC" w14:textId="77777777" w:rsidR="00BC6293" w:rsidRDefault="00EE31BA">
            <w:r>
              <w:t xml:space="preserve">amount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EF6C8" w14:textId="77777777" w:rsidR="00BC6293" w:rsidRDefault="00EE31BA">
            <w:r>
              <w:t xml:space="preserve">Analysis and outcome </w:t>
            </w:r>
          </w:p>
        </w:tc>
      </w:tr>
      <w:tr w:rsidR="00BC6293" w14:paraId="3379CD14" w14:textId="77777777" w:rsidTr="00825F74">
        <w:trPr>
          <w:trHeight w:val="1085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0F2BB" w14:textId="77777777" w:rsidR="00BC6293" w:rsidRDefault="00EE31BA">
            <w:r>
              <w:t xml:space="preserve">Speech and Language Therapy support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CD921" w14:textId="77777777" w:rsidR="00BC6293" w:rsidRDefault="00EE31BA">
            <w:pPr>
              <w:spacing w:after="19" w:line="237" w:lineRule="auto"/>
              <w:ind w:left="721" w:hanging="361"/>
            </w:pPr>
            <w:r>
              <w:rPr>
                <w:noProof/>
              </w:rPr>
              <w:drawing>
                <wp:inline distT="0" distB="0" distL="0" distR="0" wp14:anchorId="012C74B1" wp14:editId="21856100">
                  <wp:extent cx="115570" cy="115570"/>
                  <wp:effectExtent l="0" t="0" r="0" b="0"/>
                  <wp:docPr id="35" name="Picture 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" cy="115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To remove S&amp;L barriers to learning </w:t>
            </w:r>
          </w:p>
          <w:p w14:paraId="0542C818" w14:textId="77777777" w:rsidR="00BC6293" w:rsidRDefault="00EE31BA">
            <w:pPr>
              <w:ind w:left="360"/>
            </w:pPr>
            <w:r>
              <w:rPr>
                <w:noProof/>
              </w:rPr>
              <w:drawing>
                <wp:inline distT="0" distB="0" distL="0" distR="0" wp14:anchorId="14E70768" wp14:editId="7E13EDEB">
                  <wp:extent cx="115570" cy="115569"/>
                  <wp:effectExtent l="0" t="0" r="0" b="0"/>
                  <wp:docPr id="41" name="Picture 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icture 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" cy="1155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Staff training/CPD </w:t>
            </w:r>
          </w:p>
          <w:p w14:paraId="6E02F2FE" w14:textId="77777777" w:rsidR="00BC6293" w:rsidRDefault="00EE31BA">
            <w:pPr>
              <w:ind w:left="360"/>
            </w:pPr>
            <w:r>
              <w:rPr>
                <w:noProof/>
              </w:rPr>
              <w:drawing>
                <wp:inline distT="0" distB="0" distL="0" distR="0" wp14:anchorId="5D9B3D5A" wp14:editId="278D9A5C">
                  <wp:extent cx="115570" cy="115570"/>
                  <wp:effectExtent l="0" t="0" r="0" b="0"/>
                  <wp:docPr id="46" name="Picture 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Picture 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" cy="115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EHCP support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0F5E9" w14:textId="77777777" w:rsidR="00BC6293" w:rsidRDefault="00EE31BA">
            <w:r>
              <w:t xml:space="preserve">£5200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62714" w14:textId="77777777" w:rsidR="00BC6293" w:rsidRDefault="00EE31BA">
            <w:r>
              <w:t xml:space="preserve"> </w:t>
            </w:r>
            <w:r w:rsidR="00A7308E">
              <w:t xml:space="preserve">Staff training was delivered by SALT and embedded across school- Colourful Semantics. </w:t>
            </w:r>
            <w:proofErr w:type="spellStart"/>
            <w:r w:rsidR="00A7308E">
              <w:t>SENCo</w:t>
            </w:r>
            <w:proofErr w:type="spellEnd"/>
            <w:r w:rsidR="00A7308E">
              <w:t xml:space="preserve"> provided additional support with a focus on the children identified with greater need.</w:t>
            </w:r>
          </w:p>
          <w:p w14:paraId="2B569408" w14:textId="55955476" w:rsidR="00A7308E" w:rsidRDefault="00A7308E"/>
        </w:tc>
      </w:tr>
      <w:tr w:rsidR="00BC6293" w14:paraId="5CBB9455" w14:textId="77777777" w:rsidTr="00825F74">
        <w:trPr>
          <w:trHeight w:val="2161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D3E66" w14:textId="77777777" w:rsidR="00BC6293" w:rsidRDefault="00EE31BA">
            <w:r>
              <w:t xml:space="preserve">Specialist Maths Teacher KS2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FA97F" w14:textId="77777777" w:rsidR="00BC6293" w:rsidRDefault="00EE31BA">
            <w:pPr>
              <w:spacing w:after="17"/>
              <w:ind w:left="721" w:hanging="361"/>
            </w:pPr>
            <w:r>
              <w:rPr>
                <w:noProof/>
              </w:rPr>
              <w:drawing>
                <wp:inline distT="0" distB="0" distL="0" distR="0" wp14:anchorId="7E678E24" wp14:editId="65C4E94C">
                  <wp:extent cx="115570" cy="115570"/>
                  <wp:effectExtent l="0" t="0" r="0" b="0"/>
                  <wp:docPr id="70" name="Picture 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Picture 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" cy="115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Accelerate progress of pupils 2017/18 (</w:t>
            </w:r>
            <w:proofErr w:type="spellStart"/>
            <w:r>
              <w:t>Yr</w:t>
            </w:r>
            <w:proofErr w:type="spellEnd"/>
            <w:r>
              <w:t xml:space="preserve"> 5/6) </w:t>
            </w:r>
          </w:p>
          <w:p w14:paraId="20E629D5" w14:textId="77777777" w:rsidR="00BC6293" w:rsidRDefault="00EE31BA">
            <w:pPr>
              <w:spacing w:after="16"/>
              <w:ind w:left="721" w:hanging="361"/>
            </w:pPr>
            <w:r>
              <w:rPr>
                <w:noProof/>
              </w:rPr>
              <w:drawing>
                <wp:inline distT="0" distB="0" distL="0" distR="0" wp14:anchorId="4E36E9F1" wp14:editId="2BB99A85">
                  <wp:extent cx="115570" cy="115570"/>
                  <wp:effectExtent l="0" t="0" r="0" b="0"/>
                  <wp:docPr id="76" name="Picture 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Picture 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" cy="115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Improved learning outcomes in maths </w:t>
            </w:r>
          </w:p>
          <w:p w14:paraId="38DF88CD" w14:textId="77777777" w:rsidR="00BC6293" w:rsidRDefault="00EE31BA">
            <w:pPr>
              <w:ind w:left="721" w:hanging="361"/>
            </w:pPr>
            <w:r>
              <w:rPr>
                <w:noProof/>
              </w:rPr>
              <w:drawing>
                <wp:inline distT="0" distB="0" distL="0" distR="0" wp14:anchorId="0A699D3D" wp14:editId="10C1D420">
                  <wp:extent cx="115570" cy="116205"/>
                  <wp:effectExtent l="0" t="0" r="0" b="0"/>
                  <wp:docPr id="82" name="Picture 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Picture 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" cy="116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Improved confidence, closing the gap in mathematical understanding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FF1B1" w14:textId="77777777" w:rsidR="00BC6293" w:rsidRDefault="00EE31BA">
            <w:r>
              <w:t xml:space="preserve">£36 000 (April to April)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D8FE2" w14:textId="2EFCD209" w:rsidR="00F92C29" w:rsidRDefault="00F92C29">
            <w:r>
              <w:t xml:space="preserve">Y6 pp 69% </w:t>
            </w:r>
            <w:proofErr w:type="gramStart"/>
            <w:r>
              <w:t>non pp</w:t>
            </w:r>
            <w:proofErr w:type="gramEnd"/>
            <w:r>
              <w:t xml:space="preserve"> 63%</w:t>
            </w:r>
          </w:p>
          <w:p w14:paraId="15B90972" w14:textId="77777777" w:rsidR="00F92C29" w:rsidRDefault="00F92C29">
            <w:r>
              <w:t xml:space="preserve">Y5 pp 63% </w:t>
            </w:r>
            <w:proofErr w:type="gramStart"/>
            <w:r>
              <w:t>non pp</w:t>
            </w:r>
            <w:proofErr w:type="gramEnd"/>
            <w:r>
              <w:t xml:space="preserve"> 62%</w:t>
            </w:r>
          </w:p>
          <w:p w14:paraId="17380F9C" w14:textId="26D53F30" w:rsidR="00F92C29" w:rsidRDefault="00F92C29">
            <w:r>
              <w:t>P</w:t>
            </w:r>
            <w:r w:rsidR="00300C67">
              <w:t>P</w:t>
            </w:r>
            <w:r>
              <w:t xml:space="preserve"> CHILDREN PERFORMED AT LEAST AS WELL AS </w:t>
            </w:r>
            <w:proofErr w:type="gramStart"/>
            <w:r>
              <w:t>NON PP</w:t>
            </w:r>
            <w:proofErr w:type="gramEnd"/>
          </w:p>
        </w:tc>
      </w:tr>
      <w:tr w:rsidR="00BC6293" w14:paraId="34F43624" w14:textId="77777777" w:rsidTr="00825F74">
        <w:trPr>
          <w:trHeight w:val="814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677B8" w14:textId="77777777" w:rsidR="00BC6293" w:rsidRDefault="00EE31BA">
            <w:r>
              <w:t xml:space="preserve">Specialist maths TA support – First class at number, IDL, Write away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B8477" w14:textId="77777777" w:rsidR="00BC6293" w:rsidRDefault="00EE31BA">
            <w:pPr>
              <w:spacing w:after="13"/>
              <w:ind w:left="721" w:hanging="361"/>
            </w:pPr>
            <w:r>
              <w:rPr>
                <w:noProof/>
              </w:rPr>
              <w:drawing>
                <wp:inline distT="0" distB="0" distL="0" distR="0" wp14:anchorId="76F3947B" wp14:editId="7994301C">
                  <wp:extent cx="115570" cy="115569"/>
                  <wp:effectExtent l="0" t="0" r="0" b="0"/>
                  <wp:docPr id="114" name="Picture 1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Picture 1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" cy="1155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Improved outcomes in maths Y2 and 3 </w:t>
            </w:r>
          </w:p>
          <w:p w14:paraId="1835B308" w14:textId="77777777" w:rsidR="00BC6293" w:rsidRDefault="00EE31BA">
            <w:pPr>
              <w:ind w:right="284"/>
              <w:jc w:val="center"/>
            </w:pPr>
            <w:r>
              <w:rPr>
                <w:noProof/>
              </w:rPr>
              <w:drawing>
                <wp:inline distT="0" distB="0" distL="0" distR="0" wp14:anchorId="4506A512" wp14:editId="2AF789F8">
                  <wp:extent cx="115570" cy="116205"/>
                  <wp:effectExtent l="0" t="0" r="0" b="0"/>
                  <wp:docPr id="121" name="Picture 1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" name="Picture 1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" cy="116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Improved confidence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1FFAA" w14:textId="77777777" w:rsidR="00BC6293" w:rsidRDefault="00EE31BA">
            <w:r>
              <w:t xml:space="preserve">£21 000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EBA14" w14:textId="77777777" w:rsidR="00F92C29" w:rsidRDefault="00F92C29">
            <w:r>
              <w:t xml:space="preserve">Year 2 pp 58% and </w:t>
            </w:r>
            <w:proofErr w:type="gramStart"/>
            <w:r>
              <w:t>non pp</w:t>
            </w:r>
            <w:proofErr w:type="gramEnd"/>
            <w:r>
              <w:t xml:space="preserve"> 85%- pp are all but one on SEN register</w:t>
            </w:r>
          </w:p>
          <w:p w14:paraId="44BB0851" w14:textId="77777777" w:rsidR="00F92C29" w:rsidRDefault="00F92C29">
            <w:r>
              <w:t xml:space="preserve">Year 3 pp 61% and </w:t>
            </w:r>
            <w:proofErr w:type="gramStart"/>
            <w:r>
              <w:t>non pp</w:t>
            </w:r>
            <w:proofErr w:type="gramEnd"/>
            <w:r>
              <w:t xml:space="preserve"> 60%</w:t>
            </w:r>
          </w:p>
          <w:p w14:paraId="3659FAB8" w14:textId="67B88BF9" w:rsidR="00825F74" w:rsidRDefault="00825F74">
            <w:r>
              <w:t xml:space="preserve">YEAR 3 PP PERFORMED AT LEAST AS WELL AS </w:t>
            </w:r>
            <w:proofErr w:type="gramStart"/>
            <w:r>
              <w:t>NON PP</w:t>
            </w:r>
            <w:proofErr w:type="gramEnd"/>
          </w:p>
        </w:tc>
      </w:tr>
      <w:tr w:rsidR="00BC6293" w14:paraId="02D65188" w14:textId="77777777" w:rsidTr="00825F74">
        <w:trPr>
          <w:trHeight w:val="1520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DDFFE" w14:textId="77777777" w:rsidR="00BC6293" w:rsidRDefault="00EE31BA">
            <w:r>
              <w:t xml:space="preserve">TA support in class and for focused interventions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6CFBD" w14:textId="77777777" w:rsidR="00BC6293" w:rsidRDefault="00EE31BA">
            <w:pPr>
              <w:spacing w:after="17" w:line="239" w:lineRule="auto"/>
              <w:ind w:left="721" w:hanging="361"/>
            </w:pPr>
            <w:r>
              <w:rPr>
                <w:noProof/>
              </w:rPr>
              <w:drawing>
                <wp:inline distT="0" distB="0" distL="0" distR="0" wp14:anchorId="7574AE2E" wp14:editId="184B18AB">
                  <wp:extent cx="115570" cy="115570"/>
                  <wp:effectExtent l="0" t="0" r="0" b="0"/>
                  <wp:docPr id="146" name="Picture 1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Picture 1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" cy="115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1-1 &amp; small group support for individual/group learning needs, </w:t>
            </w:r>
          </w:p>
          <w:p w14:paraId="162C75E8" w14:textId="576EDCEC" w:rsidR="00BC6293" w:rsidRDefault="00EE31BA">
            <w:pPr>
              <w:ind w:left="721" w:hanging="361"/>
            </w:pPr>
            <w:r>
              <w:rPr>
                <w:noProof/>
              </w:rPr>
              <w:drawing>
                <wp:inline distT="0" distB="0" distL="0" distR="0" wp14:anchorId="13FE18A3" wp14:editId="1603E7C1">
                  <wp:extent cx="115570" cy="115569"/>
                  <wp:effectExtent l="0" t="0" r="0" b="0"/>
                  <wp:docPr id="155" name="Picture 1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" name="Picture 1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" cy="1155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support in lessons to improve understanding, consolidate learning, </w:t>
            </w:r>
            <w:r w:rsidR="00300C67">
              <w:t>pre-teaching</w:t>
            </w: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3FC81" w14:textId="77777777" w:rsidR="00BC6293" w:rsidRDefault="00EE31BA">
            <w:r>
              <w:t xml:space="preserve">£89 946 </w:t>
            </w:r>
          </w:p>
          <w:p w14:paraId="0DEAB5AF" w14:textId="77777777" w:rsidR="00BC6293" w:rsidRDefault="00EE31BA">
            <w:r>
              <w:t xml:space="preserve">15.78 X 2.5 hoursx190 daysx12 TAs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8C0C0" w14:textId="57831C07" w:rsidR="00BC6293" w:rsidRDefault="00EE31BA">
            <w:r>
              <w:t xml:space="preserve"> </w:t>
            </w:r>
            <w:r w:rsidR="00CA3BA1">
              <w:t>Children received more 1-1 and small group teaching. There was additional support in lessons for day-to-day teaching.</w:t>
            </w:r>
          </w:p>
          <w:p w14:paraId="5BD70FAF" w14:textId="086640DD" w:rsidR="00825F74" w:rsidRDefault="00825F74">
            <w:r>
              <w:t>PP/</w:t>
            </w:r>
            <w:proofErr w:type="gramStart"/>
            <w:r>
              <w:t>NON PP</w:t>
            </w:r>
            <w:proofErr w:type="gramEnd"/>
            <w:r>
              <w:t xml:space="preserve"> %</w:t>
            </w:r>
          </w:p>
          <w:p w14:paraId="565BA8E1" w14:textId="2BA138CC" w:rsidR="00825F74" w:rsidRDefault="00825F74">
            <w:r>
              <w:t>MATHS- AS ABOVE +</w:t>
            </w:r>
          </w:p>
          <w:p w14:paraId="7C788E12" w14:textId="47F18E2E" w:rsidR="00825F74" w:rsidRDefault="00825F74">
            <w:r>
              <w:t>Y1 62/65 Y4 44/68 NS- Narrow gap</w:t>
            </w:r>
          </w:p>
          <w:p w14:paraId="3A804CDD" w14:textId="02D23377" w:rsidR="00825F74" w:rsidRDefault="00825F74">
            <w:r>
              <w:t>READING</w:t>
            </w:r>
          </w:p>
          <w:p w14:paraId="528CEFFD" w14:textId="228AC7B5" w:rsidR="00825F74" w:rsidRDefault="00825F74">
            <w:r>
              <w:t>Y1 69/65 Y2 58/74</w:t>
            </w:r>
          </w:p>
          <w:p w14:paraId="29AD6366" w14:textId="743B4FFE" w:rsidR="00825F74" w:rsidRDefault="00825F74">
            <w:r>
              <w:t>Y3 75/68 Y4 62/73</w:t>
            </w:r>
          </w:p>
          <w:p w14:paraId="2BEA90B5" w14:textId="0B71CDC8" w:rsidR="00825F74" w:rsidRDefault="00825F74">
            <w:r>
              <w:t>Y5 63/55 Y6 63/54</w:t>
            </w:r>
          </w:p>
          <w:p w14:paraId="7F5260C0" w14:textId="5B8E72AD" w:rsidR="00825F74" w:rsidRDefault="00825F74">
            <w:r>
              <w:t>WRITING</w:t>
            </w:r>
          </w:p>
          <w:p w14:paraId="15FCC371" w14:textId="42E739DC" w:rsidR="00825F74" w:rsidRDefault="00825F74">
            <w:r>
              <w:t>Y1 69/63 Y2 47/76 cohort specific</w:t>
            </w:r>
          </w:p>
          <w:p w14:paraId="56D3286D" w14:textId="0B955718" w:rsidR="00825F74" w:rsidRDefault="00825F74">
            <w:r>
              <w:t>Y3 44/25 Y4 31/55</w:t>
            </w:r>
          </w:p>
          <w:p w14:paraId="0048C5BB" w14:textId="1CA7A7A4" w:rsidR="00825F74" w:rsidRDefault="00825F74">
            <w:r>
              <w:t>Y5 58/42 Y6 63/63</w:t>
            </w:r>
          </w:p>
        </w:tc>
      </w:tr>
      <w:tr w:rsidR="00BC6293" w14:paraId="45CEDAFA" w14:textId="77777777" w:rsidTr="00825F74">
        <w:trPr>
          <w:trHeight w:val="1621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28387" w14:textId="49190F9D" w:rsidR="00BC6293" w:rsidRDefault="00EE31BA">
            <w:r>
              <w:t xml:space="preserve">Funding for </w:t>
            </w:r>
            <w:r w:rsidR="00300C67">
              <w:t>extracurricular</w:t>
            </w:r>
            <w:r>
              <w:t xml:space="preserve"> music lessons/clubs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CD84E" w14:textId="77777777" w:rsidR="00BC6293" w:rsidRDefault="00EE31BA">
            <w:pPr>
              <w:spacing w:after="15"/>
              <w:ind w:left="721" w:hanging="361"/>
            </w:pPr>
            <w:r>
              <w:rPr>
                <w:noProof/>
              </w:rPr>
              <w:drawing>
                <wp:inline distT="0" distB="0" distL="0" distR="0" wp14:anchorId="2EDE95FB" wp14:editId="2C2C80DF">
                  <wp:extent cx="115570" cy="115570"/>
                  <wp:effectExtent l="0" t="0" r="0" b="0"/>
                  <wp:docPr id="187" name="Picture 1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" name="Picture 1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" cy="115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social skills improved through participation </w:t>
            </w:r>
          </w:p>
          <w:p w14:paraId="4A82EF25" w14:textId="77777777" w:rsidR="00BC6293" w:rsidRDefault="00EE31BA">
            <w:pPr>
              <w:ind w:left="360"/>
            </w:pPr>
            <w:r>
              <w:rPr>
                <w:noProof/>
              </w:rPr>
              <w:drawing>
                <wp:inline distT="0" distB="0" distL="0" distR="0" wp14:anchorId="4258B7D0" wp14:editId="6090875E">
                  <wp:extent cx="115570" cy="116205"/>
                  <wp:effectExtent l="0" t="0" r="0" b="0"/>
                  <wp:docPr id="193" name="Picture 1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" name="Picture 1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" cy="116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increased engagement </w:t>
            </w:r>
            <w:r>
              <w:rPr>
                <w:noProof/>
              </w:rPr>
              <w:drawing>
                <wp:inline distT="0" distB="0" distL="0" distR="0" wp14:anchorId="23A61511" wp14:editId="3582E094">
                  <wp:extent cx="115570" cy="116205"/>
                  <wp:effectExtent l="0" t="0" r="0" b="0"/>
                  <wp:docPr id="198" name="Picture 1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" name="Picture 1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" cy="116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children enjoy school and have the opportunity to excel in music.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D2ADF" w14:textId="77777777" w:rsidR="00BC6293" w:rsidRDefault="00EE31BA">
            <w:r>
              <w:t xml:space="preserve">£3000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26AFB" w14:textId="30DCA156" w:rsidR="00CA3BA1" w:rsidRDefault="00EE31BA">
            <w:r>
              <w:t xml:space="preserve"> </w:t>
            </w:r>
            <w:r w:rsidR="00CA3BA1">
              <w:t>Choir and guitar lessons took place for the year.</w:t>
            </w:r>
          </w:p>
        </w:tc>
      </w:tr>
      <w:tr w:rsidR="00BC6293" w14:paraId="5CBE1A13" w14:textId="77777777" w:rsidTr="00825F74">
        <w:trPr>
          <w:trHeight w:val="550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380B6" w14:textId="77777777" w:rsidR="00BC6293" w:rsidRDefault="00EE31BA">
            <w:r>
              <w:lastRenderedPageBreak/>
              <w:t xml:space="preserve">Caritas Social Worker – 2 days a week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DA26E" w14:textId="77777777" w:rsidR="00BC6293" w:rsidRDefault="00EE31BA">
            <w:pPr>
              <w:ind w:left="721" w:hanging="361"/>
            </w:pPr>
            <w:r>
              <w:rPr>
                <w:noProof/>
              </w:rPr>
              <w:drawing>
                <wp:inline distT="0" distB="0" distL="0" distR="0" wp14:anchorId="78EE5877" wp14:editId="6AC4D11A">
                  <wp:extent cx="115570" cy="116205"/>
                  <wp:effectExtent l="0" t="0" r="0" b="0"/>
                  <wp:docPr id="231" name="Picture 2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" name="Picture 2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" cy="116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dedicated time to build pupil self esteem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D2768" w14:textId="77777777" w:rsidR="00BC6293" w:rsidRDefault="00EE31BA">
            <w:r>
              <w:t xml:space="preserve">£17 000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DABA1" w14:textId="3FBE790C" w:rsidR="00BC6293" w:rsidRDefault="00EE31BA">
            <w:r>
              <w:t xml:space="preserve"> </w:t>
            </w:r>
            <w:r w:rsidR="00CA3BA1">
              <w:t>Caritas worker worked with families who needed additional</w:t>
            </w:r>
            <w:r w:rsidR="00A7308E">
              <w:t xml:space="preserve"> support. This work included a range of interventions for children and bespoke support for the families as a whole. In some cases</w:t>
            </w:r>
            <w:r w:rsidR="005B37AE">
              <w:t>,</w:t>
            </w:r>
            <w:r w:rsidR="00A7308E">
              <w:t xml:space="preserve"> Early Help Assessments were completed and the work related to Early Help needs was carried out. Most cases were closed prior to new Caritas worker started in June 2019.</w:t>
            </w:r>
          </w:p>
        </w:tc>
      </w:tr>
      <w:tr w:rsidR="00BC6293" w14:paraId="2BF5EE87" w14:textId="77777777" w:rsidTr="00825F74">
        <w:trPr>
          <w:trHeight w:val="1085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B3BE6" w14:textId="77777777" w:rsidR="00BC6293" w:rsidRDefault="00BC6293">
            <w:pPr>
              <w:spacing w:after="160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596BC" w14:textId="738A685D" w:rsidR="00BC6293" w:rsidRDefault="00EE31BA">
            <w:pPr>
              <w:spacing w:line="255" w:lineRule="auto"/>
              <w:ind w:left="360"/>
            </w:pPr>
            <w:r>
              <w:rPr>
                <w:noProof/>
              </w:rPr>
              <w:drawing>
                <wp:inline distT="0" distB="0" distL="0" distR="0" wp14:anchorId="1B96C6A9" wp14:editId="025010BF">
                  <wp:extent cx="115570" cy="115570"/>
                  <wp:effectExtent l="0" t="0" r="0" b="0"/>
                  <wp:docPr id="276" name="Picture 2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" name="Picture 2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" cy="115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emotional </w:t>
            </w:r>
            <w:r w:rsidR="00300C67">
              <w:t>wellbeing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549F3093" wp14:editId="7A17524A">
                  <wp:extent cx="115570" cy="115570"/>
                  <wp:effectExtent l="0" t="0" r="0" b="0"/>
                  <wp:docPr id="281" name="Picture 2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1" name="Picture 2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" cy="115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improve behaviour – family </w:t>
            </w:r>
          </w:p>
          <w:p w14:paraId="1AE47C45" w14:textId="77777777" w:rsidR="00BC6293" w:rsidRDefault="00EE31BA">
            <w:pPr>
              <w:ind w:left="721"/>
            </w:pPr>
            <w:r>
              <w:t xml:space="preserve">programme </w:t>
            </w:r>
          </w:p>
          <w:p w14:paraId="4A8031F7" w14:textId="77777777" w:rsidR="00BC6293" w:rsidRDefault="00EE31BA">
            <w:pPr>
              <w:ind w:left="360"/>
            </w:pPr>
            <w:r>
              <w:rPr>
                <w:noProof/>
              </w:rPr>
              <w:drawing>
                <wp:inline distT="0" distB="0" distL="0" distR="0" wp14:anchorId="6BBCDE63" wp14:editId="47AC5F65">
                  <wp:extent cx="115570" cy="116205"/>
                  <wp:effectExtent l="0" t="0" r="0" b="0"/>
                  <wp:docPr id="290" name="Picture 2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" name="Picture 2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" cy="116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develop social skills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9B4D6" w14:textId="77777777" w:rsidR="00BC6293" w:rsidRDefault="00BC6293">
            <w:pPr>
              <w:spacing w:after="160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B42FF" w14:textId="386CC496" w:rsidR="00BC6293" w:rsidRDefault="005B37AE">
            <w:pPr>
              <w:spacing w:after="160"/>
            </w:pPr>
            <w:r>
              <w:t xml:space="preserve">See above </w:t>
            </w:r>
          </w:p>
        </w:tc>
      </w:tr>
      <w:tr w:rsidR="00BC6293" w14:paraId="5BC1C3FF" w14:textId="77777777" w:rsidTr="00825F74">
        <w:trPr>
          <w:trHeight w:val="547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C8C3C" w14:textId="77777777" w:rsidR="00BC6293" w:rsidRDefault="00EE31BA">
            <w:r>
              <w:t xml:space="preserve">Additional TA support in EY to support PP and vulnerable pupils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C8F73" w14:textId="77777777" w:rsidR="00BC6293" w:rsidRDefault="00EE31BA"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7E459" w14:textId="77777777" w:rsidR="00BC6293" w:rsidRDefault="00EE31BA">
            <w:r>
              <w:t xml:space="preserve">£15 365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10827" w14:textId="77777777" w:rsidR="00BC6293" w:rsidRPr="00F92C29" w:rsidRDefault="00EE31BA">
            <w:r w:rsidRPr="00F92C29">
              <w:t xml:space="preserve"> </w:t>
            </w:r>
            <w:r w:rsidR="0028399D" w:rsidRPr="00F92C29">
              <w:t xml:space="preserve">Nursery and </w:t>
            </w:r>
            <w:r w:rsidR="005B37AE" w:rsidRPr="00F92C29">
              <w:t xml:space="preserve">Reception classrooms are well staffed. </w:t>
            </w:r>
          </w:p>
          <w:p w14:paraId="1DA142A4" w14:textId="6F9071C2" w:rsidR="005B37AE" w:rsidRDefault="00F92C29">
            <w:r w:rsidRPr="00F92C29">
              <w:t xml:space="preserve">33% pp and 69% </w:t>
            </w:r>
            <w:bookmarkStart w:id="0" w:name="_GoBack"/>
            <w:bookmarkEnd w:id="0"/>
            <w:r w:rsidR="00300C67" w:rsidRPr="00F92C29">
              <w:t>non-pp</w:t>
            </w:r>
          </w:p>
          <w:p w14:paraId="565025AA" w14:textId="56EDCE4F" w:rsidR="00F92C29" w:rsidRPr="00F92C29" w:rsidRDefault="00F92C29">
            <w:r>
              <w:t>4/6 PP pupils SEN/EHCP</w:t>
            </w:r>
          </w:p>
        </w:tc>
      </w:tr>
      <w:tr w:rsidR="00BC6293" w14:paraId="21833494" w14:textId="77777777" w:rsidTr="00825F74">
        <w:trPr>
          <w:trHeight w:val="1083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8F44A" w14:textId="2F8E4BD8" w:rsidR="00BC6293" w:rsidRDefault="00EE31BA">
            <w:r>
              <w:t>Minecraft ICT extra</w:t>
            </w:r>
            <w:r w:rsidR="005B37AE">
              <w:t>-</w:t>
            </w:r>
            <w:r>
              <w:t xml:space="preserve">curricular club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08EE1" w14:textId="77777777" w:rsidR="00BC6293" w:rsidRDefault="00EE31BA">
            <w:pPr>
              <w:ind w:left="360"/>
            </w:pPr>
            <w:r>
              <w:rPr>
                <w:noProof/>
              </w:rPr>
              <w:drawing>
                <wp:inline distT="0" distB="0" distL="0" distR="0" wp14:anchorId="3AD48108" wp14:editId="0566D37F">
                  <wp:extent cx="115570" cy="115570"/>
                  <wp:effectExtent l="0" t="0" r="0" b="0"/>
                  <wp:docPr id="335" name="Picture 3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5" name="Picture 3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" cy="115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engagement </w:t>
            </w:r>
          </w:p>
          <w:p w14:paraId="1E4618F8" w14:textId="77777777" w:rsidR="00BC6293" w:rsidRDefault="00EE31BA">
            <w:pPr>
              <w:ind w:left="360"/>
            </w:pPr>
            <w:r>
              <w:rPr>
                <w:noProof/>
              </w:rPr>
              <w:drawing>
                <wp:inline distT="0" distB="0" distL="0" distR="0" wp14:anchorId="54CC5C78" wp14:editId="3F043D50">
                  <wp:extent cx="115570" cy="115569"/>
                  <wp:effectExtent l="0" t="0" r="0" b="0"/>
                  <wp:docPr id="341" name="Picture 3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1" name="Picture 3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" cy="1155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develop social skills </w:t>
            </w:r>
          </w:p>
          <w:p w14:paraId="0238A3A9" w14:textId="4B9B7B66" w:rsidR="00BC6293" w:rsidRDefault="00EE31BA">
            <w:pPr>
              <w:ind w:left="360" w:right="296"/>
            </w:pPr>
            <w:r>
              <w:rPr>
                <w:noProof/>
              </w:rPr>
              <w:drawing>
                <wp:inline distT="0" distB="0" distL="0" distR="0" wp14:anchorId="20B0F81C" wp14:editId="402B200A">
                  <wp:extent cx="115570" cy="115570"/>
                  <wp:effectExtent l="0" t="0" r="0" b="0"/>
                  <wp:docPr id="346" name="Picture 3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6" name="Picture 3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" cy="115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develop computing skills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B3B66" w14:textId="77777777" w:rsidR="00BC6293" w:rsidRDefault="00EE31BA">
            <w:r>
              <w:t xml:space="preserve">£600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289F4" w14:textId="67AFFD3D" w:rsidR="00BC6293" w:rsidRDefault="00F92C29">
            <w:r>
              <w:t>There was a wealth of clubs including robotics and plenty of boosters. Minecraft resources were not bought due to this.</w:t>
            </w:r>
          </w:p>
        </w:tc>
      </w:tr>
      <w:tr w:rsidR="00BC6293" w14:paraId="68A0A5C2" w14:textId="77777777" w:rsidTr="00825F74">
        <w:trPr>
          <w:trHeight w:val="816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4CA90" w14:textId="77777777" w:rsidR="00BC6293" w:rsidRDefault="00EE31BA">
            <w:r>
              <w:t xml:space="preserve">Specific learning resources to develop literacy skills (on line- accelerated reader, IDL. Now Play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BC404" w14:textId="77777777" w:rsidR="00BC6293" w:rsidRDefault="00EE31BA">
            <w:pPr>
              <w:spacing w:after="18" w:line="238" w:lineRule="auto"/>
              <w:ind w:left="721" w:hanging="361"/>
            </w:pPr>
            <w:r>
              <w:rPr>
                <w:noProof/>
              </w:rPr>
              <w:drawing>
                <wp:inline distT="0" distB="0" distL="0" distR="0" wp14:anchorId="6ED3ACE9" wp14:editId="499D5397">
                  <wp:extent cx="115570" cy="115569"/>
                  <wp:effectExtent l="0" t="0" r="0" b="0"/>
                  <wp:docPr id="379" name="Picture 3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9" name="Picture 3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" cy="1155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Improved reading and spelling  </w:t>
            </w:r>
          </w:p>
          <w:p w14:paraId="417B8ECA" w14:textId="77777777" w:rsidR="00BC6293" w:rsidRDefault="00EE31BA">
            <w:pPr>
              <w:ind w:left="360"/>
            </w:pPr>
            <w:r>
              <w:rPr>
                <w:noProof/>
              </w:rPr>
              <w:drawing>
                <wp:inline distT="0" distB="0" distL="0" distR="0" wp14:anchorId="339CA5E4" wp14:editId="1B94F419">
                  <wp:extent cx="115570" cy="115570"/>
                  <wp:effectExtent l="0" t="0" r="0" b="0"/>
                  <wp:docPr id="385" name="Picture 3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5" name="Picture 3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" cy="115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Engage children in reading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1C435" w14:textId="77777777" w:rsidR="00BC6293" w:rsidRDefault="00EE31BA">
            <w:r>
              <w:t xml:space="preserve">£5000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10383" w14:textId="3AC3A801" w:rsidR="00BC6293" w:rsidRDefault="00EE31BA">
            <w:r>
              <w:t xml:space="preserve"> </w:t>
            </w:r>
            <w:r w:rsidR="008C4E50" w:rsidRPr="008C4E50">
              <w:t>Accelerated Reader</w:t>
            </w:r>
            <w:r w:rsidR="008C4E50">
              <w:t xml:space="preserve"> continues to be used and also IDL. Now Press Play was purchased with all year groups accessing it at least once (immersive learning- stimulating imagination for writing. Good feedback from the children for it.</w:t>
            </w:r>
          </w:p>
        </w:tc>
      </w:tr>
      <w:tr w:rsidR="00BC6293" w14:paraId="18009239" w14:textId="77777777" w:rsidTr="00825F74">
        <w:trPr>
          <w:trHeight w:val="547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3F657" w14:textId="4946DDA7" w:rsidR="00BC6293" w:rsidRDefault="00EE31BA">
            <w:r>
              <w:t>G</w:t>
            </w:r>
            <w:r w:rsidR="00405253">
              <w:t xml:space="preserve"> </w:t>
            </w:r>
            <w:r>
              <w:t>&amp;</w:t>
            </w:r>
            <w:r w:rsidR="00405253">
              <w:t xml:space="preserve"> </w:t>
            </w:r>
            <w:r w:rsidR="008C4E50">
              <w:t>T</w:t>
            </w:r>
            <w:r>
              <w:t xml:space="preserve"> funding – Provide access to wider opportunities in arts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E52E8" w14:textId="243090AD" w:rsidR="00BC6293" w:rsidRDefault="00EE31BA">
            <w:pPr>
              <w:ind w:left="360"/>
            </w:pPr>
            <w:r>
              <w:rPr>
                <w:noProof/>
              </w:rPr>
              <w:drawing>
                <wp:inline distT="0" distB="0" distL="0" distR="0" wp14:anchorId="3C651582" wp14:editId="0CF6FF6F">
                  <wp:extent cx="115570" cy="116205"/>
                  <wp:effectExtent l="0" t="0" r="0" b="0"/>
                  <wp:docPr id="415" name="Picture 4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5" name="Picture 4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" cy="116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Inspire reluctant readers </w:t>
            </w:r>
            <w:r>
              <w:rPr>
                <w:noProof/>
              </w:rPr>
              <w:drawing>
                <wp:inline distT="0" distB="0" distL="0" distR="0" wp14:anchorId="7AB20BAE" wp14:editId="1B77018F">
                  <wp:extent cx="115570" cy="116205"/>
                  <wp:effectExtent l="0" t="0" r="0" b="0"/>
                  <wp:docPr id="420" name="Picture 4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0" name="Picture 4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" cy="116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</w:rPr>
              <w:t xml:space="preserve"> </w:t>
            </w:r>
            <w:r w:rsidR="008C4E50">
              <w:t>provide opportunities for more able writers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429C9" w14:textId="77777777" w:rsidR="00BC6293" w:rsidRDefault="00EE31BA">
            <w:r>
              <w:t xml:space="preserve">£5000 </w:t>
            </w:r>
          </w:p>
          <w:p w14:paraId="23D017C5" w14:textId="77777777" w:rsidR="008C4E50" w:rsidRDefault="008C4E50"/>
          <w:p w14:paraId="345EC038" w14:textId="02BE419D" w:rsidR="008C4E50" w:rsidRDefault="008C4E50">
            <w:r>
              <w:t>Children- 7 of which were pupil premium from Y5/6 and some work completed with Y2,3,4</w:t>
            </w:r>
          </w:p>
          <w:p w14:paraId="606ADA01" w14:textId="77777777" w:rsidR="008C4E50" w:rsidRDefault="008C4E50"/>
          <w:p w14:paraId="6D8F45F3" w14:textId="037B830A" w:rsidR="008C4E50" w:rsidRDefault="008C4E50"/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20047" w14:textId="3A6924FA" w:rsidR="00BC6293" w:rsidRDefault="00EE31BA">
            <w:r>
              <w:t xml:space="preserve"> </w:t>
            </w:r>
            <w:r w:rsidR="008C4E50">
              <w:t>This included opportunities such as workshops, the theatre, books</w:t>
            </w:r>
            <w:r w:rsidR="002147B1">
              <w:t>, author visits</w:t>
            </w:r>
          </w:p>
          <w:p w14:paraId="24EB6B62" w14:textId="35694B44" w:rsidR="008C4E50" w:rsidRDefault="008C4E50">
            <w:r>
              <w:t>The</w:t>
            </w:r>
            <w:r w:rsidR="002147B1">
              <w:t>Y5</w:t>
            </w:r>
            <w:r>
              <w:t xml:space="preserve"> children would like the opportunity to present to governors</w:t>
            </w:r>
          </w:p>
          <w:p w14:paraId="0E7622F7" w14:textId="71F9E8D4" w:rsidR="002147B1" w:rsidRDefault="002147B1">
            <w:r>
              <w:t>Years 2 and 3- The Worst Witch: book study and theatre</w:t>
            </w:r>
          </w:p>
          <w:p w14:paraId="2C7B79E8" w14:textId="6545A365" w:rsidR="002147B1" w:rsidRDefault="002147B1">
            <w:r>
              <w:t>Year 4- Annie: book study and theatre trip</w:t>
            </w:r>
          </w:p>
        </w:tc>
      </w:tr>
      <w:tr w:rsidR="00BC6293" w14:paraId="7B35C9D3" w14:textId="77777777" w:rsidTr="00825F74">
        <w:trPr>
          <w:trHeight w:val="281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65F7C" w14:textId="77777777" w:rsidR="00BC6293" w:rsidRDefault="00EE31BA">
            <w: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9FC86" w14:textId="6C33AC81" w:rsidR="00BC6293" w:rsidRDefault="00EE31BA"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990C6" w14:textId="77777777" w:rsidR="00BC6293" w:rsidRDefault="00EE31BA">
            <w:r>
              <w:t xml:space="preserve">Total expenditure =£198 111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3CB93" w14:textId="665D8838" w:rsidR="00BC6293" w:rsidRDefault="00EE31BA">
            <w:r>
              <w:t xml:space="preserve"> </w:t>
            </w:r>
          </w:p>
        </w:tc>
      </w:tr>
    </w:tbl>
    <w:p w14:paraId="598C9491" w14:textId="77777777" w:rsidR="00BC6293" w:rsidRDefault="00EE31BA">
      <w:pPr>
        <w:jc w:val="both"/>
      </w:pPr>
      <w:r>
        <w:t xml:space="preserve"> </w:t>
      </w:r>
    </w:p>
    <w:sectPr w:rsidR="00BC6293" w:rsidSect="005B37AE">
      <w:pgSz w:w="16838" w:h="11906" w:orient="landscape"/>
      <w:pgMar w:top="567" w:right="567" w:bottom="567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293"/>
    <w:rsid w:val="00002F7D"/>
    <w:rsid w:val="002147B1"/>
    <w:rsid w:val="0028399D"/>
    <w:rsid w:val="00300C67"/>
    <w:rsid w:val="00405253"/>
    <w:rsid w:val="004E1536"/>
    <w:rsid w:val="005B37AE"/>
    <w:rsid w:val="00651079"/>
    <w:rsid w:val="006750F4"/>
    <w:rsid w:val="00825F74"/>
    <w:rsid w:val="008C4E50"/>
    <w:rsid w:val="00A7308E"/>
    <w:rsid w:val="00BC6293"/>
    <w:rsid w:val="00CA3BA1"/>
    <w:rsid w:val="00EE31BA"/>
    <w:rsid w:val="00F9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2F272"/>
  <w15:docId w15:val="{042EB327-8246-4724-B687-3185366C4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BF499488</Template>
  <TotalTime>1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Annes Primary School</Company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Orrell</dc:creator>
  <cp:keywords/>
  <cp:lastModifiedBy>L Clegg</cp:lastModifiedBy>
  <cp:revision>3</cp:revision>
  <cp:lastPrinted>2019-11-19T13:01:00Z</cp:lastPrinted>
  <dcterms:created xsi:type="dcterms:W3CDTF">2020-01-14T08:08:00Z</dcterms:created>
  <dcterms:modified xsi:type="dcterms:W3CDTF">2020-01-14T08:09:00Z</dcterms:modified>
</cp:coreProperties>
</file>