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4CC7" w14:textId="77777777" w:rsidR="00EF0099" w:rsidRDefault="00EF0099" w:rsidP="00EF0099">
      <w:pPr>
        <w:spacing w:line="360" w:lineRule="auto"/>
        <w:ind w:left="567" w:right="567"/>
        <w:jc w:val="center"/>
        <w:rPr>
          <w:sz w:val="22"/>
          <w:szCs w:val="22"/>
        </w:rPr>
      </w:pPr>
      <w:r w:rsidRPr="001E50B4">
        <w:rPr>
          <w:noProof/>
          <w:sz w:val="22"/>
          <w:szCs w:val="22"/>
        </w:rPr>
        <w:drawing>
          <wp:inline distT="0" distB="0" distL="0" distR="0" wp14:anchorId="01EE9378" wp14:editId="389C1416">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4DE63207" w14:textId="77777777" w:rsidR="00EF0099" w:rsidRDefault="00EF0099" w:rsidP="00EF0099">
      <w:pPr>
        <w:spacing w:line="360" w:lineRule="auto"/>
        <w:ind w:left="567" w:right="567"/>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14:paraId="131A182D" w14:textId="77777777" w:rsidR="00EF0099" w:rsidRDefault="00EF0099" w:rsidP="00EF0099">
      <w:pPr>
        <w:spacing w:line="360" w:lineRule="auto"/>
        <w:ind w:left="567" w:right="567"/>
        <w:jc w:val="center"/>
        <w:rPr>
          <w:rFonts w:ascii="Twinkl" w:eastAsia="Arial" w:hAnsi="Twinkl" w:cs="Arial"/>
          <w:b/>
          <w:position w:val="-1"/>
          <w:sz w:val="24"/>
          <w:szCs w:val="24"/>
          <w:u w:val="thick" w:color="000000"/>
        </w:rPr>
      </w:pPr>
      <w:r w:rsidRPr="009E37EC">
        <w:rPr>
          <w:rFonts w:ascii="Twinkl" w:eastAsia="Arial" w:hAnsi="Twinkl" w:cs="Arial"/>
          <w:b/>
          <w:position w:val="-1"/>
          <w:sz w:val="24"/>
          <w:szCs w:val="24"/>
          <w:u w:val="thick" w:color="000000"/>
        </w:rPr>
        <w:t>St Anne’ s RC Primary School Accessibility Policy 2019-2021</w:t>
      </w:r>
    </w:p>
    <w:p w14:paraId="6B1E43D2" w14:textId="77777777" w:rsidR="00EF0099" w:rsidRPr="009E37EC" w:rsidRDefault="00EF0099" w:rsidP="00EF0099">
      <w:pPr>
        <w:spacing w:before="29" w:line="260" w:lineRule="exact"/>
        <w:ind w:left="567" w:right="567"/>
        <w:jc w:val="both"/>
        <w:rPr>
          <w:rFonts w:ascii="Twinkl" w:eastAsia="Arial" w:hAnsi="Twinkl" w:cs="Arial"/>
          <w:sz w:val="24"/>
          <w:szCs w:val="24"/>
        </w:rPr>
      </w:pPr>
      <w:r w:rsidRPr="009E37EC">
        <w:rPr>
          <w:rFonts w:ascii="Twinkl" w:eastAsia="Arial" w:hAnsi="Twinkl" w:cs="Arial"/>
          <w:b/>
          <w:position w:val="-1"/>
          <w:sz w:val="24"/>
          <w:szCs w:val="24"/>
          <w:u w:val="thick" w:color="000000"/>
        </w:rPr>
        <w:t>Purpose of the Plan</w:t>
      </w:r>
    </w:p>
    <w:p w14:paraId="031CC874" w14:textId="77777777" w:rsidR="00EF0099" w:rsidRPr="009E37EC" w:rsidRDefault="00EF0099" w:rsidP="00EF0099">
      <w:pPr>
        <w:spacing w:before="16" w:line="200" w:lineRule="exact"/>
        <w:ind w:left="567" w:right="567"/>
        <w:jc w:val="both"/>
        <w:rPr>
          <w:rFonts w:ascii="Twinkl" w:hAnsi="Twinkl"/>
          <w:sz w:val="24"/>
          <w:szCs w:val="24"/>
        </w:rPr>
      </w:pPr>
    </w:p>
    <w:p w14:paraId="0242B2AE" w14:textId="77777777" w:rsidR="00EF0099" w:rsidRDefault="00EF0099" w:rsidP="00EF0099">
      <w:pPr>
        <w:spacing w:before="29" w:line="275" w:lineRule="auto"/>
        <w:ind w:left="567" w:right="567"/>
        <w:jc w:val="both"/>
        <w:rPr>
          <w:rFonts w:ascii="Twinkl" w:eastAsia="Arial" w:hAnsi="Twinkl" w:cs="Arial"/>
          <w:sz w:val="24"/>
          <w:szCs w:val="24"/>
        </w:rPr>
      </w:pPr>
      <w:r w:rsidRPr="009E37EC">
        <w:rPr>
          <w:rFonts w:ascii="Twinkl" w:eastAsia="Arial" w:hAnsi="Twinkl" w:cs="Arial"/>
          <w:sz w:val="24"/>
          <w:szCs w:val="24"/>
        </w:rPr>
        <w:t>The purpose of this plan is to show how St Anne’s RC Primary School intends, over time, to increase the accessibility of our school for disabled pupils. Under the Equality Act 2010 schools should have an Accessibility Plan. The Equality Act</w:t>
      </w:r>
      <w:r>
        <w:rPr>
          <w:rFonts w:ascii="Twinkl" w:eastAsia="Arial" w:hAnsi="Twinkl" w:cs="Arial"/>
          <w:sz w:val="24"/>
          <w:szCs w:val="24"/>
        </w:rPr>
        <w:t xml:space="preserve"> </w:t>
      </w:r>
      <w:r w:rsidRPr="009E37EC">
        <w:rPr>
          <w:rFonts w:ascii="Twinkl" w:eastAsia="Arial" w:hAnsi="Twinkl" w:cs="Arial"/>
          <w:sz w:val="24"/>
          <w:szCs w:val="24"/>
        </w:rPr>
        <w:t>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14:paraId="53CD7AF4" w14:textId="77777777" w:rsidR="00EF0099" w:rsidRDefault="00EF0099" w:rsidP="00EF0099">
      <w:pPr>
        <w:ind w:left="567" w:right="567"/>
        <w:jc w:val="both"/>
        <w:rPr>
          <w:rFonts w:ascii="Twinkl" w:eastAsia="Arial" w:hAnsi="Twinkl" w:cs="Arial"/>
          <w:sz w:val="24"/>
          <w:szCs w:val="24"/>
        </w:rPr>
      </w:pPr>
    </w:p>
    <w:p w14:paraId="0CF2C6E5" w14:textId="77777777" w:rsidR="00EF0099" w:rsidRPr="009E37EC" w:rsidRDefault="00EF0099" w:rsidP="00EF0099">
      <w:pPr>
        <w:ind w:left="567" w:right="567"/>
        <w:jc w:val="both"/>
        <w:rPr>
          <w:rFonts w:ascii="Twinkl" w:eastAsia="Arial" w:hAnsi="Twinkl" w:cs="Arial"/>
          <w:sz w:val="24"/>
          <w:szCs w:val="24"/>
        </w:rPr>
      </w:pPr>
      <w:r w:rsidRPr="009E37EC">
        <w:rPr>
          <w:rFonts w:ascii="Twinkl" w:eastAsia="Arial" w:hAnsi="Twinkl" w:cs="Arial"/>
          <w:sz w:val="24"/>
          <w:szCs w:val="24"/>
        </w:rPr>
        <w:t>(a) He or she has a physica</w:t>
      </w:r>
      <w:r>
        <w:rPr>
          <w:rFonts w:ascii="Twinkl" w:eastAsia="Arial" w:hAnsi="Twinkl" w:cs="Arial"/>
          <w:sz w:val="24"/>
          <w:szCs w:val="24"/>
        </w:rPr>
        <w:t xml:space="preserve">l or </w:t>
      </w:r>
      <w:r w:rsidRPr="009E37EC">
        <w:rPr>
          <w:rFonts w:ascii="Twinkl" w:eastAsia="Arial" w:hAnsi="Twinkl" w:cs="Arial"/>
          <w:sz w:val="24"/>
          <w:szCs w:val="24"/>
        </w:rPr>
        <w:t>mental impairment, and</w:t>
      </w:r>
    </w:p>
    <w:p w14:paraId="58C4EC5F" w14:textId="77777777" w:rsidR="00EF0099" w:rsidRPr="009E37EC" w:rsidRDefault="00EF0099" w:rsidP="00EF0099">
      <w:pPr>
        <w:spacing w:line="240" w:lineRule="exact"/>
        <w:ind w:left="567" w:right="567"/>
        <w:jc w:val="both"/>
        <w:rPr>
          <w:rFonts w:ascii="Twinkl" w:hAnsi="Twinkl"/>
          <w:sz w:val="24"/>
          <w:szCs w:val="24"/>
        </w:rPr>
      </w:pPr>
    </w:p>
    <w:p w14:paraId="15ACE6A9" w14:textId="77777777" w:rsidR="00EF0099" w:rsidRDefault="00EF0099" w:rsidP="00EF0099">
      <w:pPr>
        <w:spacing w:line="275" w:lineRule="auto"/>
        <w:ind w:left="567" w:right="567"/>
        <w:jc w:val="both"/>
        <w:rPr>
          <w:rFonts w:ascii="Twinkl" w:eastAsia="Arial" w:hAnsi="Twinkl" w:cs="Arial"/>
          <w:sz w:val="24"/>
          <w:szCs w:val="24"/>
        </w:rPr>
      </w:pPr>
      <w:r w:rsidRPr="009E37EC">
        <w:rPr>
          <w:rFonts w:ascii="Twinkl" w:eastAsia="Arial" w:hAnsi="Twinkl" w:cs="Arial"/>
          <w:sz w:val="24"/>
          <w:szCs w:val="24"/>
        </w:rPr>
        <w:t>(b) The impairment has a substantial and long-term adverse effect on his or her ability to carry out normal day-to-day activities.</w:t>
      </w:r>
    </w:p>
    <w:p w14:paraId="25199552" w14:textId="77777777" w:rsidR="00EF0099" w:rsidRDefault="00EF0099" w:rsidP="00EF0099">
      <w:pPr>
        <w:spacing w:line="275" w:lineRule="auto"/>
        <w:ind w:left="567" w:right="567"/>
        <w:jc w:val="both"/>
        <w:rPr>
          <w:rFonts w:ascii="Twinkl" w:eastAsia="Arial" w:hAnsi="Twinkl" w:cs="Arial"/>
          <w:sz w:val="24"/>
          <w:szCs w:val="24"/>
        </w:rPr>
      </w:pPr>
    </w:p>
    <w:p w14:paraId="61823FE8" w14:textId="77777777" w:rsidR="00EF0099" w:rsidRDefault="00EF0099" w:rsidP="00EF0099">
      <w:pPr>
        <w:spacing w:line="260" w:lineRule="exact"/>
        <w:ind w:left="567" w:right="567"/>
        <w:jc w:val="both"/>
        <w:rPr>
          <w:rFonts w:ascii="Twinkl" w:eastAsia="Arial" w:hAnsi="Twinkl" w:cs="Arial"/>
          <w:b/>
          <w:position w:val="-1"/>
          <w:sz w:val="24"/>
          <w:szCs w:val="24"/>
          <w:u w:val="thick" w:color="000000"/>
        </w:rPr>
      </w:pPr>
      <w:r w:rsidRPr="009E37EC">
        <w:rPr>
          <w:rFonts w:ascii="Twinkl" w:eastAsia="Arial" w:hAnsi="Twinkl" w:cs="Arial"/>
          <w:b/>
          <w:position w:val="-1"/>
          <w:sz w:val="24"/>
          <w:szCs w:val="24"/>
          <w:u w:val="thick" w:color="000000"/>
        </w:rPr>
        <w:t>Legal Background</w:t>
      </w:r>
    </w:p>
    <w:p w14:paraId="5CDA8E4E" w14:textId="77777777" w:rsidR="00EF0099" w:rsidRPr="009E37EC" w:rsidRDefault="00EF0099" w:rsidP="00EF0099">
      <w:pPr>
        <w:spacing w:before="29" w:line="276" w:lineRule="auto"/>
        <w:ind w:left="567" w:right="567"/>
        <w:jc w:val="both"/>
        <w:rPr>
          <w:rFonts w:ascii="Twinkl" w:eastAsia="Arial" w:hAnsi="Twinkl" w:cs="Arial"/>
          <w:sz w:val="24"/>
          <w:szCs w:val="24"/>
        </w:rPr>
      </w:pPr>
      <w:r w:rsidRPr="009E37EC">
        <w:rPr>
          <w:rFonts w:ascii="Twinkl" w:eastAsia="Arial" w:hAnsi="Twinkl" w:cs="Arial"/>
          <w:sz w:val="24"/>
          <w:szCs w:val="24"/>
        </w:rPr>
        <w:t>It is a requirement that the school’s accessibility plan is resourced, implemented and reviewed and revised as necessary. This plan sets out the proposals of the Governing Body of the school to increase access to education for disabled pupils in the three areas required by the planning duties in the DDA:</w:t>
      </w:r>
    </w:p>
    <w:p w14:paraId="47923D2C" w14:textId="77777777" w:rsidR="00EF0099" w:rsidRPr="009E37EC" w:rsidRDefault="00EF0099" w:rsidP="00EF0099">
      <w:pPr>
        <w:spacing w:before="10" w:line="180" w:lineRule="exact"/>
        <w:ind w:left="567" w:right="567"/>
        <w:jc w:val="both"/>
        <w:rPr>
          <w:rFonts w:ascii="Twinkl" w:hAnsi="Twinkl"/>
          <w:sz w:val="24"/>
          <w:szCs w:val="24"/>
        </w:rPr>
      </w:pPr>
    </w:p>
    <w:p w14:paraId="50419DF8" w14:textId="77777777" w:rsidR="00EF0099" w:rsidRPr="009E37EC" w:rsidRDefault="00EF0099" w:rsidP="00EF0099">
      <w:pPr>
        <w:spacing w:line="276" w:lineRule="auto"/>
        <w:ind w:left="567" w:right="567"/>
        <w:jc w:val="both"/>
        <w:rPr>
          <w:rFonts w:ascii="Twinkl" w:eastAsia="Arial" w:hAnsi="Twinkl" w:cs="Arial"/>
          <w:sz w:val="24"/>
          <w:szCs w:val="24"/>
        </w:rPr>
      </w:pPr>
      <w:r w:rsidRPr="009E37EC">
        <w:rPr>
          <w:rFonts w:ascii="Twinkl" w:eastAsia="Arial" w:hAnsi="Twinkl" w:cs="Arial"/>
          <w:sz w:val="24"/>
          <w:szCs w:val="24"/>
        </w:rPr>
        <w:t>•  increasing the extent to which disabled pupils can participate in the school curriculum, which includes teaching and learning and the wider curriculum of the school, such as participation in after school clubs, leisure and cultural activities or school visits;</w:t>
      </w:r>
    </w:p>
    <w:p w14:paraId="00561CE6" w14:textId="77777777" w:rsidR="00EF0099" w:rsidRPr="009E37EC" w:rsidRDefault="00EF0099" w:rsidP="00EF0099">
      <w:pPr>
        <w:spacing w:before="9" w:line="180" w:lineRule="exact"/>
        <w:ind w:left="567" w:right="567"/>
        <w:jc w:val="both"/>
        <w:rPr>
          <w:rFonts w:ascii="Twinkl" w:hAnsi="Twinkl"/>
          <w:sz w:val="24"/>
          <w:szCs w:val="24"/>
        </w:rPr>
      </w:pPr>
    </w:p>
    <w:p w14:paraId="029F42F4" w14:textId="77777777" w:rsidR="00EF0099" w:rsidRPr="009E37EC" w:rsidRDefault="00EF0099" w:rsidP="00EF0099">
      <w:pPr>
        <w:spacing w:line="276" w:lineRule="auto"/>
        <w:ind w:left="567" w:right="567" w:firstLine="67"/>
        <w:jc w:val="both"/>
        <w:rPr>
          <w:rFonts w:ascii="Twinkl" w:eastAsia="Arial" w:hAnsi="Twinkl" w:cs="Arial"/>
          <w:sz w:val="24"/>
          <w:szCs w:val="24"/>
        </w:rPr>
      </w:pPr>
      <w:r w:rsidRPr="009E37EC">
        <w:rPr>
          <w:rFonts w:ascii="Twinkl" w:eastAsia="Arial" w:hAnsi="Twinkl" w:cs="Arial"/>
          <w:sz w:val="24"/>
          <w:szCs w:val="24"/>
        </w:rPr>
        <w:t>•  improving the environment of the school to increase the extent to which disabled pupils can take advantage of education and associated services, which includes improvements to the physical environment of the school and physical aids to access education.</w:t>
      </w:r>
    </w:p>
    <w:p w14:paraId="32D8423D" w14:textId="77777777" w:rsidR="00EF0099" w:rsidRPr="009E37EC" w:rsidRDefault="00EF0099" w:rsidP="00EF0099">
      <w:pPr>
        <w:spacing w:before="10" w:line="180" w:lineRule="exact"/>
        <w:ind w:left="567" w:right="567"/>
        <w:jc w:val="both"/>
        <w:rPr>
          <w:rFonts w:ascii="Twinkl" w:hAnsi="Twinkl"/>
          <w:sz w:val="24"/>
          <w:szCs w:val="24"/>
        </w:rPr>
      </w:pPr>
    </w:p>
    <w:p w14:paraId="2D71FDD5" w14:textId="77777777" w:rsidR="00EF0099" w:rsidRPr="009E37EC" w:rsidRDefault="00EF0099" w:rsidP="00EF0099">
      <w:pPr>
        <w:spacing w:line="277" w:lineRule="auto"/>
        <w:ind w:left="567" w:right="567"/>
        <w:jc w:val="both"/>
        <w:rPr>
          <w:rFonts w:ascii="Twinkl" w:eastAsia="Arial" w:hAnsi="Twinkl" w:cs="Arial"/>
          <w:sz w:val="24"/>
          <w:szCs w:val="24"/>
        </w:rPr>
      </w:pPr>
      <w:r w:rsidRPr="009E37EC">
        <w:rPr>
          <w:rFonts w:ascii="Twinkl" w:eastAsia="Arial" w:hAnsi="Twinkl" w:cs="Arial"/>
          <w:sz w:val="24"/>
          <w:szCs w:val="24"/>
        </w:rPr>
        <w:lastRenderedPageBreak/>
        <w:t>•improving the delivery to disabled pupils of information, which is provided in writing for pupils who are not disabled. e.g. handouts, timetables, textbooks and information about school events. The information should take account of the pupils’</w:t>
      </w:r>
      <w:r>
        <w:rPr>
          <w:rFonts w:ascii="Twinkl" w:eastAsia="Arial" w:hAnsi="Twinkl" w:cs="Arial"/>
          <w:sz w:val="24"/>
          <w:szCs w:val="24"/>
        </w:rPr>
        <w:t xml:space="preserve"> </w:t>
      </w:r>
      <w:r w:rsidRPr="009E37EC">
        <w:rPr>
          <w:rFonts w:ascii="Twinkl" w:eastAsia="Arial" w:hAnsi="Twinkl" w:cs="Arial"/>
          <w:sz w:val="24"/>
          <w:szCs w:val="24"/>
        </w:rPr>
        <w:t xml:space="preserve">disabilities and the preferred format of pupils and parents and be made available within a reasonable timeframe.  St Anne’s RC Primary School aims to treat all stakeholders, including pupils, prospective pupils, staff, governors and other members of the school community favorably and, wherever possible, takes reasonable steps to avoid placing anyone at a substantial disadvantage. The school aims to work closely with disabled pupils, their families and any relevant outside agencies in order to remove or minimize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w:t>
      </w:r>
      <w:proofErr w:type="spellStart"/>
      <w:r w:rsidRPr="009E37EC">
        <w:rPr>
          <w:rFonts w:ascii="Twinkl" w:eastAsia="Arial" w:hAnsi="Twinkl" w:cs="Arial"/>
          <w:sz w:val="24"/>
          <w:szCs w:val="24"/>
        </w:rPr>
        <w:t>carers</w:t>
      </w:r>
      <w:proofErr w:type="spellEnd"/>
      <w:r w:rsidRPr="009E37EC">
        <w:rPr>
          <w:rFonts w:ascii="Twinkl" w:eastAsia="Arial" w:hAnsi="Twinkl" w:cs="Arial"/>
          <w:sz w:val="24"/>
          <w:szCs w:val="24"/>
        </w:rPr>
        <w:t xml:space="preserve"> and other stakeholders we continually look at ways to improve accessibility through data collection, questionnaires and parental discussions.</w:t>
      </w:r>
    </w:p>
    <w:p w14:paraId="0923AC9C" w14:textId="77777777" w:rsidR="00EF0099" w:rsidRPr="009E37EC" w:rsidRDefault="00EF0099" w:rsidP="00EF0099">
      <w:pPr>
        <w:spacing w:before="10" w:line="180" w:lineRule="exact"/>
        <w:ind w:left="567" w:right="567"/>
        <w:jc w:val="both"/>
        <w:rPr>
          <w:rFonts w:ascii="Twinkl" w:hAnsi="Twinkl"/>
          <w:sz w:val="24"/>
          <w:szCs w:val="24"/>
        </w:rPr>
      </w:pPr>
    </w:p>
    <w:p w14:paraId="38A19ECC" w14:textId="77777777" w:rsidR="00EF0099" w:rsidRDefault="00EF0099" w:rsidP="00EF0099">
      <w:pPr>
        <w:spacing w:line="277" w:lineRule="auto"/>
        <w:ind w:left="567" w:right="567"/>
        <w:jc w:val="both"/>
        <w:rPr>
          <w:rFonts w:ascii="Twinkl" w:eastAsia="Arial" w:hAnsi="Twinkl" w:cs="Arial"/>
          <w:sz w:val="24"/>
          <w:szCs w:val="24"/>
        </w:rPr>
      </w:pPr>
      <w:r w:rsidRPr="009E37EC">
        <w:rPr>
          <w:rFonts w:ascii="Twinkl" w:eastAsia="Arial" w:hAnsi="Twinkl" w:cs="Arial"/>
          <w:sz w:val="24"/>
          <w:szCs w:val="24"/>
        </w:rPr>
        <w:t>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At St. Anne’s RC. Primary School, the Plan will form part of the responsibilities of the Curriculum and Premises Governors Committee.</w:t>
      </w:r>
    </w:p>
    <w:p w14:paraId="2B55CA32" w14:textId="77777777" w:rsidR="00EF0099" w:rsidRDefault="00EF0099" w:rsidP="00EF0099">
      <w:pPr>
        <w:spacing w:line="277" w:lineRule="auto"/>
        <w:ind w:left="567" w:right="567"/>
        <w:jc w:val="both"/>
        <w:rPr>
          <w:rFonts w:ascii="Twinkl" w:eastAsia="Arial" w:hAnsi="Twinkl" w:cs="Arial"/>
          <w:sz w:val="24"/>
          <w:szCs w:val="24"/>
        </w:rPr>
      </w:pPr>
    </w:p>
    <w:p w14:paraId="153AA64D" w14:textId="77777777" w:rsidR="00EF0099" w:rsidRPr="009E37EC" w:rsidRDefault="00EF0099" w:rsidP="00EF0099">
      <w:pPr>
        <w:spacing w:line="260" w:lineRule="exact"/>
        <w:ind w:left="567" w:right="567"/>
        <w:jc w:val="both"/>
        <w:rPr>
          <w:rFonts w:ascii="Twinkl" w:eastAsia="Arial" w:hAnsi="Twinkl" w:cs="Arial"/>
          <w:sz w:val="24"/>
          <w:szCs w:val="24"/>
        </w:rPr>
      </w:pPr>
      <w:r w:rsidRPr="009E37EC">
        <w:rPr>
          <w:rFonts w:ascii="Twinkl" w:eastAsia="Arial" w:hAnsi="Twinkl" w:cs="Arial"/>
          <w:b/>
          <w:position w:val="-1"/>
          <w:sz w:val="24"/>
          <w:szCs w:val="24"/>
          <w:u w:val="thick" w:color="000000"/>
        </w:rPr>
        <w:t xml:space="preserve">St Anne’s Accessibility Plan </w:t>
      </w:r>
    </w:p>
    <w:p w14:paraId="060A8C0D" w14:textId="77777777" w:rsidR="00EF0099" w:rsidRPr="009E37EC" w:rsidRDefault="00EF0099" w:rsidP="00EF0099">
      <w:pPr>
        <w:spacing w:before="18" w:line="200" w:lineRule="exact"/>
        <w:ind w:left="567" w:right="567"/>
        <w:jc w:val="both"/>
        <w:rPr>
          <w:rFonts w:ascii="Twinkl" w:hAnsi="Twinkl"/>
          <w:sz w:val="24"/>
          <w:szCs w:val="24"/>
        </w:rPr>
      </w:pPr>
    </w:p>
    <w:p w14:paraId="5DAB8B6A" w14:textId="77777777" w:rsidR="00EF0099" w:rsidRPr="009E37EC" w:rsidRDefault="00EF0099" w:rsidP="00EF0099">
      <w:pPr>
        <w:spacing w:before="29" w:line="276" w:lineRule="auto"/>
        <w:ind w:left="567" w:right="567"/>
        <w:jc w:val="both"/>
        <w:rPr>
          <w:rFonts w:ascii="Twinkl" w:eastAsia="Arial" w:hAnsi="Twinkl" w:cs="Arial"/>
          <w:sz w:val="24"/>
          <w:szCs w:val="24"/>
        </w:rPr>
      </w:pPr>
      <w:r w:rsidRPr="009E37EC">
        <w:rPr>
          <w:rFonts w:ascii="Twinkl" w:eastAsia="Arial" w:hAnsi="Twinkl" w:cs="Arial"/>
          <w:sz w:val="24"/>
          <w:szCs w:val="24"/>
        </w:rPr>
        <w:t>At St. Anne’s RC.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1910404B" w14:textId="77777777" w:rsidR="00EF0099" w:rsidRPr="009E37EC" w:rsidRDefault="00EF0099" w:rsidP="00EF0099">
      <w:pPr>
        <w:spacing w:before="9" w:line="180" w:lineRule="exact"/>
        <w:ind w:left="567" w:right="567"/>
        <w:jc w:val="both"/>
        <w:rPr>
          <w:rFonts w:ascii="Twinkl" w:hAnsi="Twinkl"/>
          <w:sz w:val="24"/>
          <w:szCs w:val="24"/>
        </w:rPr>
      </w:pPr>
    </w:p>
    <w:p w14:paraId="1F7F4E78" w14:textId="77777777" w:rsidR="00EF0099" w:rsidRPr="009E37EC" w:rsidRDefault="00EF0099" w:rsidP="00EF0099">
      <w:pPr>
        <w:spacing w:line="276" w:lineRule="auto"/>
        <w:ind w:left="567" w:right="567"/>
        <w:jc w:val="both"/>
        <w:rPr>
          <w:rFonts w:ascii="Twinkl" w:eastAsia="Arial" w:hAnsi="Twinkl" w:cs="Arial"/>
          <w:sz w:val="24"/>
          <w:szCs w:val="24"/>
        </w:rPr>
      </w:pPr>
      <w:r w:rsidRPr="009E37EC">
        <w:rPr>
          <w:rFonts w:ascii="Twinkl" w:eastAsia="Arial" w:hAnsi="Twinkl" w:cs="Arial"/>
          <w:sz w:val="24"/>
          <w:szCs w:val="24"/>
        </w:rPr>
        <w:t>St. Anne’s RC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71F22789" w14:textId="77777777" w:rsidR="00EF0099" w:rsidRPr="009E37EC" w:rsidRDefault="00EF0099" w:rsidP="00EF0099">
      <w:pPr>
        <w:spacing w:before="10" w:line="180" w:lineRule="exact"/>
        <w:ind w:left="567" w:right="567"/>
        <w:jc w:val="both"/>
        <w:rPr>
          <w:rFonts w:ascii="Twinkl" w:hAnsi="Twinkl"/>
          <w:sz w:val="24"/>
          <w:szCs w:val="24"/>
        </w:rPr>
      </w:pPr>
    </w:p>
    <w:p w14:paraId="71E399B8" w14:textId="77777777" w:rsidR="00EF0099" w:rsidRDefault="00EF0099" w:rsidP="00EF0099">
      <w:pPr>
        <w:spacing w:line="277" w:lineRule="auto"/>
        <w:ind w:left="567" w:right="567"/>
        <w:jc w:val="both"/>
        <w:rPr>
          <w:rFonts w:ascii="Twinkl" w:eastAsia="Arial" w:hAnsi="Twinkl" w:cs="Arial"/>
          <w:sz w:val="24"/>
          <w:szCs w:val="24"/>
        </w:rPr>
      </w:pPr>
      <w:r w:rsidRPr="009E37EC">
        <w:rPr>
          <w:rFonts w:ascii="Twinkl" w:eastAsia="Arial" w:hAnsi="Twinkl" w:cs="Arial"/>
          <w:sz w:val="24"/>
          <w:szCs w:val="24"/>
        </w:rPr>
        <w:t>The St. Anne’s RC. Primary School Accessibility Plan shows how access is to be improved for disabled pupils, staff and visitors to the school within a given timeframe and anticipating the need to make reasonable adjustments to accommoda</w:t>
      </w:r>
      <w:r>
        <w:rPr>
          <w:rFonts w:ascii="Twinkl" w:eastAsia="Arial" w:hAnsi="Twinkl" w:cs="Arial"/>
          <w:sz w:val="24"/>
          <w:szCs w:val="24"/>
        </w:rPr>
        <w:t>te</w:t>
      </w:r>
      <w:r w:rsidRPr="00D4040C">
        <w:rPr>
          <w:rFonts w:ascii="Twinkl" w:eastAsia="Arial" w:hAnsi="Twinkl" w:cs="Arial"/>
          <w:sz w:val="24"/>
          <w:szCs w:val="24"/>
        </w:rPr>
        <w:t xml:space="preserve"> </w:t>
      </w:r>
      <w:r w:rsidRPr="009E37EC">
        <w:rPr>
          <w:rFonts w:ascii="Twinkl" w:eastAsia="Arial" w:hAnsi="Twinkl" w:cs="Arial"/>
          <w:sz w:val="24"/>
          <w:szCs w:val="24"/>
        </w:rPr>
        <w:t xml:space="preserve">their needs where practicable. </w:t>
      </w:r>
    </w:p>
    <w:p w14:paraId="438D17DD" w14:textId="77777777" w:rsidR="00EF0099" w:rsidRDefault="00EF0099" w:rsidP="00EF0099">
      <w:pPr>
        <w:spacing w:line="277" w:lineRule="auto"/>
        <w:ind w:left="567" w:right="567"/>
        <w:jc w:val="both"/>
        <w:rPr>
          <w:rFonts w:ascii="Twinkl" w:eastAsia="Arial" w:hAnsi="Twinkl" w:cs="Arial"/>
          <w:sz w:val="24"/>
          <w:szCs w:val="24"/>
        </w:rPr>
      </w:pPr>
    </w:p>
    <w:p w14:paraId="16D9420B" w14:textId="77777777" w:rsidR="00EF0099" w:rsidRDefault="00EF0099" w:rsidP="00EF0099">
      <w:pPr>
        <w:spacing w:before="29" w:line="276" w:lineRule="auto"/>
        <w:ind w:left="567" w:right="567"/>
        <w:jc w:val="both"/>
        <w:rPr>
          <w:rFonts w:ascii="Twinkl" w:eastAsia="Arial" w:hAnsi="Twinkl" w:cs="Arial"/>
          <w:sz w:val="24"/>
          <w:szCs w:val="24"/>
        </w:rPr>
      </w:pPr>
      <w:r w:rsidRPr="009E37EC">
        <w:rPr>
          <w:rFonts w:ascii="Twinkl" w:eastAsia="Arial" w:hAnsi="Twinkl" w:cs="Arial"/>
          <w:sz w:val="24"/>
          <w:szCs w:val="24"/>
        </w:rPr>
        <w:t xml:space="preserve">The Accessibility Plan </w:t>
      </w:r>
      <w:r>
        <w:rPr>
          <w:rFonts w:ascii="Twinkl" w:eastAsia="Arial" w:hAnsi="Twinkl" w:cs="Arial"/>
          <w:sz w:val="24"/>
          <w:szCs w:val="24"/>
        </w:rPr>
        <w:t>c</w:t>
      </w:r>
      <w:r w:rsidRPr="009E37EC">
        <w:rPr>
          <w:rFonts w:ascii="Twinkl" w:eastAsia="Arial" w:hAnsi="Twinkl" w:cs="Arial"/>
          <w:sz w:val="24"/>
          <w:szCs w:val="24"/>
        </w:rPr>
        <w:t xml:space="preserve">ontains relevant and timely actions to: -  </w:t>
      </w:r>
    </w:p>
    <w:p w14:paraId="27C761C9" w14:textId="77777777" w:rsidR="00EF0099" w:rsidRPr="009E37EC" w:rsidRDefault="00EF0099" w:rsidP="00EF0099">
      <w:pPr>
        <w:spacing w:before="29" w:line="276" w:lineRule="auto"/>
        <w:ind w:left="567" w:right="567"/>
        <w:jc w:val="both"/>
        <w:rPr>
          <w:rFonts w:ascii="Twinkl" w:eastAsia="Arial" w:hAnsi="Twinkl" w:cs="Arial"/>
          <w:sz w:val="24"/>
          <w:szCs w:val="24"/>
        </w:rPr>
      </w:pPr>
      <w:r w:rsidRPr="009E37EC">
        <w:rPr>
          <w:rFonts w:ascii="Twinkl" w:eastAsia="Arial" w:hAnsi="Twinkl" w:cs="Arial"/>
          <w:sz w:val="24"/>
          <w:szCs w:val="24"/>
        </w:rPr>
        <w:t>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
    <w:p w14:paraId="26FF21EE" w14:textId="77777777" w:rsidR="00EF0099" w:rsidRDefault="00EF0099" w:rsidP="00EF0099">
      <w:pPr>
        <w:spacing w:line="277" w:lineRule="auto"/>
        <w:ind w:left="567" w:right="567"/>
        <w:jc w:val="both"/>
        <w:rPr>
          <w:rFonts w:ascii="Twinkl" w:eastAsia="Arial" w:hAnsi="Twinkl" w:cs="Arial"/>
          <w:sz w:val="24"/>
          <w:szCs w:val="24"/>
        </w:rPr>
      </w:pPr>
    </w:p>
    <w:p w14:paraId="24C56CFF" w14:textId="77777777" w:rsidR="00EF0099" w:rsidRPr="00D4040C" w:rsidRDefault="00EF0099" w:rsidP="00EF0099">
      <w:pPr>
        <w:pStyle w:val="ListParagraph"/>
        <w:numPr>
          <w:ilvl w:val="0"/>
          <w:numId w:val="1"/>
        </w:numPr>
        <w:tabs>
          <w:tab w:val="left" w:pos="820"/>
        </w:tabs>
        <w:spacing w:line="276" w:lineRule="auto"/>
        <w:ind w:left="567" w:right="567"/>
        <w:jc w:val="both"/>
        <w:rPr>
          <w:rFonts w:ascii="Twinkl" w:eastAsia="Arial" w:hAnsi="Twinkl" w:cs="Arial"/>
          <w:sz w:val="24"/>
          <w:szCs w:val="24"/>
        </w:rPr>
      </w:pPr>
      <w:r w:rsidRPr="00D4040C">
        <w:rPr>
          <w:rFonts w:ascii="Twinkl" w:eastAsia="Arial" w:hAnsi="Twinkl" w:cs="Arial"/>
          <w:sz w:val="24"/>
          <w:szCs w:val="24"/>
        </w:rPr>
        <w:t xml:space="preserve">Improve and maintain access to the physical environment of the school, adding specialist facilities as necessary </w:t>
      </w:r>
      <w:r>
        <w:rPr>
          <w:rFonts w:ascii="Twinkl" w:eastAsia="Arial" w:hAnsi="Twinkl" w:cs="Arial"/>
          <w:sz w:val="24"/>
          <w:szCs w:val="24"/>
        </w:rPr>
        <w:t xml:space="preserve">- </w:t>
      </w:r>
      <w:r w:rsidRPr="00D4040C">
        <w:rPr>
          <w:rFonts w:ascii="Twinkl" w:eastAsia="Arial" w:hAnsi="Twinkl" w:cs="Arial"/>
          <w:sz w:val="24"/>
          <w:szCs w:val="24"/>
        </w:rPr>
        <w:t>this</w:t>
      </w:r>
      <w:r>
        <w:rPr>
          <w:rFonts w:ascii="Twinkl" w:eastAsia="Arial" w:hAnsi="Twinkl" w:cs="Arial"/>
          <w:sz w:val="24"/>
          <w:szCs w:val="24"/>
        </w:rPr>
        <w:t xml:space="preserve"> </w:t>
      </w:r>
      <w:r w:rsidRPr="00D4040C">
        <w:rPr>
          <w:rFonts w:ascii="Twinkl" w:eastAsia="Arial" w:hAnsi="Twinkl" w:cs="Arial"/>
          <w:sz w:val="24"/>
          <w:szCs w:val="24"/>
        </w:rPr>
        <w:t>covers</w:t>
      </w:r>
      <w:r>
        <w:rPr>
          <w:rFonts w:ascii="Twinkl" w:eastAsia="Arial" w:hAnsi="Twinkl" w:cs="Arial"/>
          <w:sz w:val="24"/>
          <w:szCs w:val="24"/>
        </w:rPr>
        <w:t xml:space="preserve"> </w:t>
      </w:r>
      <w:r w:rsidRPr="00D4040C">
        <w:rPr>
          <w:rFonts w:ascii="Twinkl" w:eastAsia="Arial" w:hAnsi="Twinkl" w:cs="Arial"/>
          <w:sz w:val="24"/>
          <w:szCs w:val="24"/>
        </w:rPr>
        <w:t>improvements to the physical environment of the school and physical aids to access education within a reasonable timeframe;</w:t>
      </w:r>
    </w:p>
    <w:p w14:paraId="44F33BB1" w14:textId="77777777" w:rsidR="00EF0099" w:rsidRPr="00D4040C" w:rsidRDefault="00EF0099" w:rsidP="00EF0099">
      <w:pPr>
        <w:pStyle w:val="ListParagraph"/>
        <w:numPr>
          <w:ilvl w:val="0"/>
          <w:numId w:val="1"/>
        </w:numPr>
        <w:tabs>
          <w:tab w:val="left" w:pos="820"/>
        </w:tabs>
        <w:spacing w:before="12" w:line="276" w:lineRule="auto"/>
        <w:ind w:left="567" w:right="567"/>
        <w:jc w:val="both"/>
        <w:rPr>
          <w:rFonts w:ascii="Twinkl" w:eastAsia="Arial" w:hAnsi="Twinkl" w:cs="Arial"/>
          <w:sz w:val="24"/>
          <w:szCs w:val="24"/>
        </w:rPr>
      </w:pPr>
      <w:r w:rsidRPr="00D4040C">
        <w:rPr>
          <w:rFonts w:ascii="Twinkl" w:eastAsia="Arial" w:hAnsi="Twinkl" w:cs="Arial"/>
          <w:sz w:val="24"/>
          <w:szCs w:val="24"/>
        </w:rPr>
        <w:t>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timeframe.</w:t>
      </w:r>
    </w:p>
    <w:p w14:paraId="4245D2F6" w14:textId="77777777" w:rsidR="00EF0099" w:rsidRPr="009E37EC" w:rsidRDefault="00EF0099" w:rsidP="00EF0099">
      <w:pPr>
        <w:spacing w:before="9" w:line="100" w:lineRule="exact"/>
        <w:ind w:left="567" w:right="567"/>
        <w:jc w:val="both"/>
        <w:rPr>
          <w:rFonts w:ascii="Twinkl" w:hAnsi="Twinkl"/>
          <w:sz w:val="24"/>
          <w:szCs w:val="24"/>
        </w:rPr>
      </w:pPr>
    </w:p>
    <w:p w14:paraId="0BBB0328" w14:textId="77777777" w:rsidR="00EF0099" w:rsidRPr="009E37EC" w:rsidRDefault="00EF0099" w:rsidP="00EF0099">
      <w:pPr>
        <w:spacing w:line="200" w:lineRule="exact"/>
        <w:ind w:left="567" w:right="567"/>
        <w:jc w:val="both"/>
        <w:rPr>
          <w:rFonts w:ascii="Twinkl" w:hAnsi="Twinkl"/>
          <w:sz w:val="24"/>
          <w:szCs w:val="24"/>
        </w:rPr>
      </w:pPr>
    </w:p>
    <w:p w14:paraId="2074DC91" w14:textId="77777777" w:rsidR="00EF0099" w:rsidRPr="009E37EC" w:rsidRDefault="00EF0099" w:rsidP="00EF0099">
      <w:pPr>
        <w:spacing w:line="200" w:lineRule="exact"/>
        <w:ind w:left="567" w:right="567"/>
        <w:jc w:val="both"/>
        <w:rPr>
          <w:rFonts w:ascii="Twinkl" w:hAnsi="Twinkl"/>
          <w:sz w:val="24"/>
          <w:szCs w:val="24"/>
        </w:rPr>
      </w:pPr>
    </w:p>
    <w:p w14:paraId="3E3E61A5" w14:textId="77777777" w:rsidR="00EF0099" w:rsidRPr="009E37EC" w:rsidRDefault="00EF0099" w:rsidP="00EF0099">
      <w:pPr>
        <w:ind w:left="567" w:right="567"/>
        <w:jc w:val="both"/>
        <w:rPr>
          <w:rFonts w:ascii="Twinkl" w:eastAsia="Arial" w:hAnsi="Twinkl" w:cs="Arial"/>
          <w:sz w:val="24"/>
          <w:szCs w:val="24"/>
        </w:rPr>
      </w:pPr>
      <w:r w:rsidRPr="009E37EC">
        <w:rPr>
          <w:rFonts w:ascii="Twinkl" w:eastAsia="Arial" w:hAnsi="Twinkl" w:cs="Arial"/>
          <w:sz w:val="24"/>
          <w:szCs w:val="24"/>
        </w:rPr>
        <w:t>This Accessibility Plan should be read in conjunction with the following school policies, strategies and documents:</w:t>
      </w:r>
    </w:p>
    <w:p w14:paraId="7A34CEE7" w14:textId="77777777" w:rsidR="00EF0099" w:rsidRPr="009E37EC" w:rsidRDefault="00EF0099" w:rsidP="00EF0099">
      <w:pPr>
        <w:spacing w:before="15" w:line="240" w:lineRule="exact"/>
        <w:ind w:left="567" w:right="567"/>
        <w:jc w:val="both"/>
        <w:rPr>
          <w:rFonts w:ascii="Twinkl" w:hAnsi="Twinkl"/>
          <w:sz w:val="24"/>
          <w:szCs w:val="24"/>
        </w:rPr>
      </w:pPr>
    </w:p>
    <w:p w14:paraId="56F27D8F" w14:textId="77777777" w:rsidR="00EF0099" w:rsidRPr="00D4040C" w:rsidRDefault="00EF0099" w:rsidP="00EF0099">
      <w:pPr>
        <w:pStyle w:val="ListParagraph"/>
        <w:numPr>
          <w:ilvl w:val="0"/>
          <w:numId w:val="1"/>
        </w:numPr>
        <w:ind w:left="567" w:right="567"/>
        <w:jc w:val="both"/>
        <w:rPr>
          <w:rFonts w:ascii="Twinkl" w:eastAsia="Arial" w:hAnsi="Twinkl" w:cs="Arial"/>
          <w:sz w:val="24"/>
          <w:szCs w:val="24"/>
        </w:rPr>
      </w:pPr>
      <w:r w:rsidRPr="00D4040C">
        <w:rPr>
          <w:rFonts w:ascii="Twinkl" w:eastAsia="Arial" w:hAnsi="Twinkl" w:cs="Arial"/>
          <w:sz w:val="24"/>
          <w:szCs w:val="24"/>
        </w:rPr>
        <w:t>Asset Management Plan</w:t>
      </w:r>
    </w:p>
    <w:p w14:paraId="2FC7CAB7"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proofErr w:type="spellStart"/>
      <w:r w:rsidRPr="00D4040C">
        <w:rPr>
          <w:rFonts w:ascii="Twinkl" w:eastAsia="Arial" w:hAnsi="Twinkl" w:cs="Arial"/>
          <w:sz w:val="24"/>
          <w:szCs w:val="24"/>
        </w:rPr>
        <w:t>Behaviour</w:t>
      </w:r>
      <w:proofErr w:type="spellEnd"/>
      <w:r w:rsidRPr="00D4040C">
        <w:rPr>
          <w:rFonts w:ascii="Twinkl" w:eastAsia="Arial" w:hAnsi="Twinkl" w:cs="Arial"/>
          <w:sz w:val="24"/>
          <w:szCs w:val="24"/>
        </w:rPr>
        <w:t xml:space="preserve"> Management Policy</w:t>
      </w:r>
    </w:p>
    <w:p w14:paraId="1EB89A4F"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Curriculum Policy</w:t>
      </w:r>
    </w:p>
    <w:p w14:paraId="2B049BA5"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Critical Incident Support Plan</w:t>
      </w:r>
    </w:p>
    <w:p w14:paraId="6AD3E5B3"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Equal Opportunities Policy</w:t>
      </w:r>
    </w:p>
    <w:p w14:paraId="5E1FFF48"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Health &amp; Safety Policy</w:t>
      </w:r>
    </w:p>
    <w:p w14:paraId="0C9165B8"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Equality Plan</w:t>
      </w:r>
    </w:p>
    <w:p w14:paraId="40F80149"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School Prospectus</w:t>
      </w:r>
    </w:p>
    <w:p w14:paraId="05562544" w14:textId="77777777" w:rsidR="00EF0099" w:rsidRPr="00D4040C" w:rsidRDefault="00EF0099" w:rsidP="00EF0099">
      <w:pPr>
        <w:pStyle w:val="ListParagraph"/>
        <w:numPr>
          <w:ilvl w:val="0"/>
          <w:numId w:val="1"/>
        </w:numPr>
        <w:spacing w:before="56"/>
        <w:ind w:left="567" w:right="567"/>
        <w:jc w:val="both"/>
        <w:rPr>
          <w:rFonts w:ascii="Twinkl" w:eastAsia="Arial" w:hAnsi="Twinkl" w:cs="Arial"/>
          <w:sz w:val="24"/>
          <w:szCs w:val="24"/>
        </w:rPr>
      </w:pPr>
      <w:r w:rsidRPr="00D4040C">
        <w:rPr>
          <w:rFonts w:ascii="Twinkl" w:eastAsia="Arial" w:hAnsi="Twinkl" w:cs="Arial"/>
          <w:sz w:val="24"/>
          <w:szCs w:val="24"/>
        </w:rPr>
        <w:t>School Improvement Plan</w:t>
      </w:r>
    </w:p>
    <w:p w14:paraId="54E049B7" w14:textId="77777777" w:rsidR="00EF0099" w:rsidRDefault="00EF0099" w:rsidP="00EF0099">
      <w:pPr>
        <w:pStyle w:val="ListParagraph"/>
        <w:numPr>
          <w:ilvl w:val="0"/>
          <w:numId w:val="1"/>
        </w:numPr>
        <w:spacing w:before="58"/>
        <w:ind w:left="567" w:right="567"/>
        <w:jc w:val="both"/>
        <w:rPr>
          <w:rFonts w:ascii="Twinkl" w:eastAsia="Arial" w:hAnsi="Twinkl" w:cs="Arial"/>
          <w:sz w:val="24"/>
          <w:szCs w:val="24"/>
        </w:rPr>
      </w:pPr>
      <w:r w:rsidRPr="00D4040C">
        <w:rPr>
          <w:rFonts w:ascii="Twinkl" w:eastAsia="Arial" w:hAnsi="Twinkl" w:cs="Arial"/>
          <w:sz w:val="24"/>
          <w:szCs w:val="24"/>
        </w:rPr>
        <w:t>S</w:t>
      </w:r>
      <w:r>
        <w:rPr>
          <w:rFonts w:ascii="Twinkl" w:eastAsia="Arial" w:hAnsi="Twinkl" w:cs="Arial"/>
          <w:sz w:val="24"/>
          <w:szCs w:val="24"/>
        </w:rPr>
        <w:t>END</w:t>
      </w:r>
      <w:r w:rsidRPr="00D4040C">
        <w:rPr>
          <w:rFonts w:ascii="Twinkl" w:eastAsia="Arial" w:hAnsi="Twinkl" w:cs="Arial"/>
          <w:sz w:val="24"/>
          <w:szCs w:val="24"/>
        </w:rPr>
        <w:t xml:space="preserve"> Policy</w:t>
      </w:r>
    </w:p>
    <w:p w14:paraId="3B78CB2C" w14:textId="77777777" w:rsidR="00EF0099" w:rsidRDefault="00EF0099" w:rsidP="00EF0099">
      <w:pPr>
        <w:spacing w:before="58"/>
        <w:ind w:left="567" w:right="567"/>
        <w:jc w:val="both"/>
        <w:rPr>
          <w:rFonts w:ascii="Twinkl" w:eastAsia="Arial" w:hAnsi="Twinkl" w:cs="Arial"/>
          <w:sz w:val="24"/>
          <w:szCs w:val="24"/>
        </w:rPr>
      </w:pPr>
    </w:p>
    <w:p w14:paraId="24171AB9" w14:textId="77777777" w:rsidR="00EF0099" w:rsidRDefault="00EF0099" w:rsidP="00EF0099">
      <w:pPr>
        <w:spacing w:before="58"/>
        <w:ind w:left="567" w:right="567"/>
        <w:jc w:val="both"/>
        <w:rPr>
          <w:rFonts w:ascii="Twinkl" w:eastAsia="Arial" w:hAnsi="Twinkl" w:cs="Arial"/>
          <w:sz w:val="24"/>
          <w:szCs w:val="24"/>
        </w:rPr>
      </w:pPr>
    </w:p>
    <w:p w14:paraId="5FF58754" w14:textId="77777777" w:rsidR="00EF0099" w:rsidRDefault="00EF0099" w:rsidP="00EF0099">
      <w:pPr>
        <w:spacing w:before="29" w:line="260" w:lineRule="exact"/>
        <w:ind w:left="567" w:right="567"/>
        <w:jc w:val="both"/>
        <w:rPr>
          <w:rFonts w:ascii="Twinkl" w:eastAsia="Arial" w:hAnsi="Twinkl" w:cs="Arial"/>
          <w:b/>
          <w:position w:val="-1"/>
          <w:sz w:val="24"/>
          <w:szCs w:val="24"/>
          <w:u w:val="thick" w:color="000000"/>
        </w:rPr>
      </w:pPr>
    </w:p>
    <w:p w14:paraId="2568E67A" w14:textId="30524A34" w:rsidR="00EF0099" w:rsidRPr="009E37EC" w:rsidRDefault="00EF0099" w:rsidP="00EF0099">
      <w:pPr>
        <w:spacing w:before="29" w:line="260" w:lineRule="exact"/>
        <w:ind w:left="567" w:right="567"/>
        <w:jc w:val="both"/>
        <w:rPr>
          <w:rFonts w:ascii="Twinkl" w:eastAsia="Arial" w:hAnsi="Twinkl" w:cs="Arial"/>
          <w:sz w:val="24"/>
          <w:szCs w:val="24"/>
        </w:rPr>
      </w:pPr>
      <w:r w:rsidRPr="009E37EC">
        <w:rPr>
          <w:rFonts w:ascii="Twinkl" w:eastAsia="Arial" w:hAnsi="Twinkl" w:cs="Arial"/>
          <w:b/>
          <w:position w:val="-1"/>
          <w:sz w:val="24"/>
          <w:szCs w:val="24"/>
          <w:u w:val="thick" w:color="000000"/>
        </w:rPr>
        <w:lastRenderedPageBreak/>
        <w:t>Contextual Information</w:t>
      </w:r>
    </w:p>
    <w:p w14:paraId="445EA3CC" w14:textId="77777777" w:rsidR="00EF0099" w:rsidRPr="009E37EC" w:rsidRDefault="00EF0099" w:rsidP="00EF0099">
      <w:pPr>
        <w:spacing w:before="18" w:line="200" w:lineRule="exact"/>
        <w:ind w:left="567" w:right="567"/>
        <w:jc w:val="both"/>
        <w:rPr>
          <w:rFonts w:ascii="Twinkl" w:hAnsi="Twinkl"/>
          <w:sz w:val="24"/>
          <w:szCs w:val="24"/>
        </w:rPr>
      </w:pPr>
    </w:p>
    <w:p w14:paraId="7DBE9BE7" w14:textId="77777777" w:rsidR="00EF0099" w:rsidRPr="009E37EC" w:rsidRDefault="00EF0099" w:rsidP="00EF0099">
      <w:pPr>
        <w:spacing w:before="29" w:line="275" w:lineRule="auto"/>
        <w:ind w:left="567" w:right="567"/>
        <w:jc w:val="both"/>
        <w:rPr>
          <w:rFonts w:ascii="Twinkl" w:eastAsia="Arial" w:hAnsi="Twinkl" w:cs="Arial"/>
          <w:sz w:val="24"/>
          <w:szCs w:val="24"/>
        </w:rPr>
      </w:pPr>
      <w:r w:rsidRPr="009E37EC">
        <w:rPr>
          <w:rFonts w:ascii="Twinkl" w:eastAsia="Arial" w:hAnsi="Twinkl" w:cs="Arial"/>
          <w:sz w:val="24"/>
          <w:szCs w:val="24"/>
        </w:rPr>
        <w:t>The majority of the school building and playground is accessible for a child in a wheelchair, thanks to the new extension that was finished in August 2015. This new part of the building has a lift, as an alternative to steps, which is specifically designed for wheel chair use. Disabled toilets are provided in each Key Stage.</w:t>
      </w:r>
    </w:p>
    <w:p w14:paraId="146FE21C" w14:textId="77777777" w:rsidR="00EF0099" w:rsidRPr="009E37EC" w:rsidRDefault="00EF0099" w:rsidP="00EF0099">
      <w:pPr>
        <w:spacing w:before="3" w:line="200" w:lineRule="exact"/>
        <w:ind w:left="567" w:right="567"/>
        <w:jc w:val="both"/>
        <w:rPr>
          <w:rFonts w:ascii="Twinkl" w:hAnsi="Twinkl"/>
          <w:sz w:val="24"/>
          <w:szCs w:val="24"/>
        </w:rPr>
      </w:pPr>
    </w:p>
    <w:p w14:paraId="234202F2" w14:textId="77777777" w:rsidR="00EF0099" w:rsidRPr="009E37EC" w:rsidRDefault="00EF0099" w:rsidP="00EF0099">
      <w:pPr>
        <w:spacing w:line="260" w:lineRule="exact"/>
        <w:ind w:left="567" w:right="567"/>
        <w:jc w:val="both"/>
        <w:rPr>
          <w:rFonts w:ascii="Twinkl" w:eastAsia="Arial" w:hAnsi="Twinkl" w:cs="Arial"/>
          <w:sz w:val="24"/>
          <w:szCs w:val="24"/>
        </w:rPr>
      </w:pPr>
      <w:r w:rsidRPr="009E37EC">
        <w:rPr>
          <w:rFonts w:ascii="Twinkl" w:eastAsia="Arial" w:hAnsi="Twinkl" w:cs="Arial"/>
          <w:b/>
          <w:position w:val="-1"/>
          <w:sz w:val="24"/>
          <w:szCs w:val="24"/>
          <w:u w:val="thick" w:color="000000"/>
        </w:rPr>
        <w:t xml:space="preserve"> The Current Range of Disabilities within St Anne’s RC Primary School </w:t>
      </w:r>
    </w:p>
    <w:p w14:paraId="3677CF49" w14:textId="77777777" w:rsidR="00EF0099" w:rsidRPr="009E37EC" w:rsidRDefault="00EF0099" w:rsidP="00EF0099">
      <w:pPr>
        <w:spacing w:before="17" w:line="200" w:lineRule="exact"/>
        <w:ind w:left="567" w:right="567"/>
        <w:jc w:val="both"/>
        <w:rPr>
          <w:rFonts w:ascii="Twinkl" w:hAnsi="Twinkl"/>
          <w:sz w:val="24"/>
          <w:szCs w:val="24"/>
        </w:rPr>
      </w:pPr>
    </w:p>
    <w:p w14:paraId="2D580767" w14:textId="77777777" w:rsidR="00EF0099" w:rsidRPr="009E37EC" w:rsidRDefault="00EF0099" w:rsidP="00EF0099">
      <w:pPr>
        <w:spacing w:before="29" w:line="276" w:lineRule="auto"/>
        <w:ind w:left="567" w:right="567" w:firstLine="67"/>
        <w:jc w:val="both"/>
        <w:rPr>
          <w:rFonts w:ascii="Twinkl" w:eastAsia="Arial" w:hAnsi="Twinkl" w:cs="Arial"/>
          <w:sz w:val="24"/>
          <w:szCs w:val="24"/>
        </w:rPr>
      </w:pPr>
      <w:r w:rsidRPr="009E37EC">
        <w:rPr>
          <w:rFonts w:ascii="Twinkl" w:eastAsia="Arial" w:hAnsi="Twinkl" w:cs="Arial"/>
          <w:sz w:val="24"/>
          <w:szCs w:val="24"/>
        </w:rPr>
        <w:t>The school has children with a limited range of disabilities which include Autistic Spectrum Disorder, Communication and Language difficulties and Epilepsy. When children enter school with specific disabilities, the school contacts the LA professionals for assessments, support and guidance for the school and parents.</w:t>
      </w:r>
    </w:p>
    <w:p w14:paraId="2520B2C4" w14:textId="77777777" w:rsidR="00EF0099" w:rsidRPr="009E37EC" w:rsidRDefault="00EF0099" w:rsidP="00EF0099">
      <w:pPr>
        <w:spacing w:before="9" w:line="180" w:lineRule="exact"/>
        <w:ind w:left="567" w:right="567"/>
        <w:jc w:val="both"/>
        <w:rPr>
          <w:rFonts w:ascii="Twinkl" w:hAnsi="Twinkl"/>
          <w:sz w:val="24"/>
          <w:szCs w:val="24"/>
        </w:rPr>
      </w:pPr>
    </w:p>
    <w:p w14:paraId="7276D374" w14:textId="77777777" w:rsidR="00EF0099" w:rsidRDefault="00EF0099" w:rsidP="00EF0099">
      <w:pPr>
        <w:spacing w:line="277" w:lineRule="auto"/>
        <w:ind w:left="567" w:right="567"/>
        <w:jc w:val="both"/>
        <w:rPr>
          <w:rFonts w:ascii="Twinkl" w:eastAsia="Arial" w:hAnsi="Twinkl" w:cs="Arial"/>
          <w:sz w:val="24"/>
          <w:szCs w:val="24"/>
        </w:rPr>
      </w:pPr>
      <w:r w:rsidRPr="009E37EC">
        <w:rPr>
          <w:rFonts w:ascii="Twinkl" w:eastAsia="Arial" w:hAnsi="Twinkl" w:cs="Arial"/>
          <w:sz w:val="24"/>
          <w:szCs w:val="24"/>
        </w:rPr>
        <w:t xml:space="preserve">We have a few children who have asthma and all staff are aware of these children. Inhalers are kept in the classrooms and a record of use is noted. Some children have allergies or food intolerances/cultural food choices; information on children with allergies/food intolerance is displayed in the school kitchen near the serving point. All medical information is collated and available to staff in the shared drive. We have a large number of </w:t>
      </w:r>
      <w:proofErr w:type="gramStart"/>
      <w:r w:rsidRPr="009E37EC">
        <w:rPr>
          <w:rFonts w:ascii="Twinkl" w:eastAsia="Arial" w:hAnsi="Twinkl" w:cs="Arial"/>
          <w:sz w:val="24"/>
          <w:szCs w:val="24"/>
        </w:rPr>
        <w:t>staff</w:t>
      </w:r>
      <w:proofErr w:type="gramEnd"/>
      <w:r w:rsidRPr="009E37EC">
        <w:rPr>
          <w:rFonts w:ascii="Twinkl" w:eastAsia="Arial" w:hAnsi="Twinkl" w:cs="Arial"/>
          <w:sz w:val="24"/>
          <w:szCs w:val="24"/>
        </w:rPr>
        <w:t xml:space="preserve"> who are </w:t>
      </w:r>
      <w:proofErr w:type="spellStart"/>
      <w:r w:rsidRPr="009E37EC">
        <w:rPr>
          <w:rFonts w:ascii="Twinkl" w:eastAsia="Arial" w:hAnsi="Twinkl" w:cs="Arial"/>
          <w:sz w:val="24"/>
          <w:szCs w:val="24"/>
        </w:rPr>
        <w:t>Paediatric</w:t>
      </w:r>
      <w:proofErr w:type="spellEnd"/>
      <w:r w:rsidRPr="009E37EC">
        <w:rPr>
          <w:rFonts w:ascii="Twinkl" w:eastAsia="Arial" w:hAnsi="Twinkl" w:cs="Arial"/>
          <w:sz w:val="24"/>
          <w:szCs w:val="24"/>
        </w:rPr>
        <w:t xml:space="preserve"> First Aid trained. Their training is updated every 3 years. All medication is kept in a central safe and secure place in the school office which has easy access for First Aiders and staff members. Administration of Medicines consent forms are filled in by parents outlining the illness and amount and time of medication. All medication that is given is record</w:t>
      </w:r>
      <w:r>
        <w:rPr>
          <w:rFonts w:ascii="Twinkl" w:eastAsia="Arial" w:hAnsi="Twinkl" w:cs="Arial"/>
          <w:sz w:val="24"/>
          <w:szCs w:val="24"/>
        </w:rPr>
        <w:t>ed.</w:t>
      </w:r>
      <w:r>
        <w:rPr>
          <w:rFonts w:ascii="Twinkl" w:eastAsia="Arial" w:hAnsi="Twinkl" w:cs="Arial"/>
          <w:sz w:val="24"/>
          <w:szCs w:val="24"/>
        </w:rPr>
        <w:br w:type="page"/>
      </w:r>
    </w:p>
    <w:p w14:paraId="485CEF39" w14:textId="77777777" w:rsidR="00EF0099" w:rsidRDefault="00EF0099" w:rsidP="00EF0099">
      <w:pPr>
        <w:ind w:left="567" w:right="567"/>
        <w:jc w:val="center"/>
        <w:rPr>
          <w:rFonts w:ascii="Twinkl" w:eastAsia="Arial" w:hAnsi="Twinkl" w:cs="Arial"/>
          <w:b/>
          <w:sz w:val="24"/>
          <w:szCs w:val="24"/>
          <w:u w:val="single"/>
        </w:rPr>
        <w:sectPr w:rsidR="00EF0099">
          <w:pgSz w:w="11906" w:h="16838"/>
          <w:pgMar w:top="1440" w:right="1440" w:bottom="1440" w:left="1440" w:header="708" w:footer="708" w:gutter="0"/>
          <w:cols w:space="708"/>
          <w:docGrid w:linePitch="360"/>
        </w:sectPr>
      </w:pPr>
    </w:p>
    <w:p w14:paraId="539B0991" w14:textId="3DE2FEFC" w:rsidR="00EF0099" w:rsidRPr="009E37EC" w:rsidRDefault="00EF0099" w:rsidP="00EF0099">
      <w:pPr>
        <w:ind w:left="567" w:right="567"/>
        <w:jc w:val="center"/>
        <w:rPr>
          <w:rFonts w:ascii="Twinkl" w:eastAsia="Arial" w:hAnsi="Twinkl" w:cs="Arial"/>
          <w:b/>
          <w:sz w:val="24"/>
          <w:szCs w:val="24"/>
          <w:u w:val="single"/>
        </w:rPr>
      </w:pPr>
      <w:r w:rsidRPr="009E37EC">
        <w:rPr>
          <w:rFonts w:ascii="Twinkl" w:eastAsia="Arial" w:hAnsi="Twinkl" w:cs="Arial"/>
          <w:b/>
          <w:sz w:val="24"/>
          <w:szCs w:val="24"/>
          <w:u w:val="single"/>
        </w:rPr>
        <w:lastRenderedPageBreak/>
        <w:t>St. Anne’s R.C. Primary School Accessibility Plan 2019 – 2021</w:t>
      </w:r>
    </w:p>
    <w:tbl>
      <w:tblPr>
        <w:tblStyle w:val="TableGrid"/>
        <w:tblpPr w:leftFromText="180" w:rightFromText="180" w:horzAnchor="margin" w:tblpY="524"/>
        <w:tblW w:w="5000" w:type="pct"/>
        <w:tblLook w:val="04A0" w:firstRow="1" w:lastRow="0" w:firstColumn="1" w:lastColumn="0" w:noHBand="0" w:noVBand="1"/>
      </w:tblPr>
      <w:tblGrid>
        <w:gridCol w:w="2296"/>
        <w:gridCol w:w="2583"/>
        <w:gridCol w:w="2572"/>
        <w:gridCol w:w="4039"/>
        <w:gridCol w:w="2458"/>
      </w:tblGrid>
      <w:tr w:rsidR="00EF0099" w:rsidRPr="009E37EC" w14:paraId="6BF5D861" w14:textId="77777777" w:rsidTr="00EF0099">
        <w:tc>
          <w:tcPr>
            <w:tcW w:w="5000" w:type="pct"/>
            <w:gridSpan w:val="5"/>
          </w:tcPr>
          <w:p w14:paraId="7DCAE666" w14:textId="77777777" w:rsidR="00EF0099" w:rsidRPr="009E37EC" w:rsidRDefault="00EF0099" w:rsidP="00130150">
            <w:pPr>
              <w:ind w:left="567" w:right="567"/>
              <w:jc w:val="center"/>
              <w:rPr>
                <w:rFonts w:ascii="Twinkl" w:eastAsia="Arial" w:hAnsi="Twinkl" w:cs="Arial"/>
                <w:sz w:val="24"/>
                <w:szCs w:val="24"/>
              </w:rPr>
            </w:pPr>
            <w:r w:rsidRPr="009E37EC">
              <w:rPr>
                <w:rFonts w:ascii="Twinkl" w:eastAsia="Arial" w:hAnsi="Twinkl" w:cs="Arial"/>
                <w:sz w:val="24"/>
                <w:szCs w:val="24"/>
              </w:rPr>
              <w:t>EQUALITY AND INCLUSION</w:t>
            </w:r>
          </w:p>
        </w:tc>
      </w:tr>
      <w:tr w:rsidR="00EF0099" w:rsidRPr="009E37EC" w14:paraId="0D3620F9" w14:textId="77777777" w:rsidTr="00EF0099">
        <w:tc>
          <w:tcPr>
            <w:tcW w:w="823" w:type="pct"/>
          </w:tcPr>
          <w:p w14:paraId="517AEEDC" w14:textId="77777777" w:rsidR="00EF0099" w:rsidRPr="009E37EC" w:rsidRDefault="00EF0099" w:rsidP="00130150">
            <w:pPr>
              <w:ind w:left="567" w:right="567"/>
              <w:jc w:val="both"/>
              <w:rPr>
                <w:rFonts w:ascii="Twinkl" w:eastAsia="Arial" w:hAnsi="Twinkl" w:cs="Arial"/>
                <w:sz w:val="24"/>
                <w:szCs w:val="24"/>
              </w:rPr>
            </w:pPr>
            <w:r w:rsidRPr="009E37EC">
              <w:rPr>
                <w:rFonts w:ascii="Twinkl" w:eastAsia="Arial" w:hAnsi="Twinkl" w:cs="Arial"/>
                <w:sz w:val="24"/>
                <w:szCs w:val="24"/>
              </w:rPr>
              <w:t>Targets</w:t>
            </w:r>
          </w:p>
        </w:tc>
        <w:tc>
          <w:tcPr>
            <w:tcW w:w="926" w:type="pct"/>
          </w:tcPr>
          <w:p w14:paraId="742A3DDE" w14:textId="77777777" w:rsidR="00EF0099" w:rsidRPr="009E37EC" w:rsidRDefault="00EF0099" w:rsidP="00130150">
            <w:pPr>
              <w:ind w:left="567" w:right="567"/>
              <w:jc w:val="both"/>
              <w:rPr>
                <w:rFonts w:ascii="Twinkl" w:eastAsia="Arial" w:hAnsi="Twinkl" w:cs="Arial"/>
                <w:sz w:val="24"/>
                <w:szCs w:val="24"/>
              </w:rPr>
            </w:pPr>
            <w:r w:rsidRPr="009E37EC">
              <w:rPr>
                <w:rFonts w:ascii="Twinkl" w:eastAsia="Arial" w:hAnsi="Twinkl" w:cs="Arial"/>
                <w:sz w:val="24"/>
                <w:szCs w:val="24"/>
              </w:rPr>
              <w:t>Strategies</w:t>
            </w:r>
          </w:p>
        </w:tc>
        <w:tc>
          <w:tcPr>
            <w:tcW w:w="922" w:type="pct"/>
          </w:tcPr>
          <w:p w14:paraId="13946696" w14:textId="77777777" w:rsidR="00EF0099" w:rsidRPr="009E37EC" w:rsidRDefault="00EF0099" w:rsidP="00130150">
            <w:pPr>
              <w:ind w:left="567" w:right="567"/>
              <w:jc w:val="both"/>
              <w:rPr>
                <w:rFonts w:ascii="Twinkl" w:eastAsia="Arial" w:hAnsi="Twinkl" w:cs="Arial"/>
                <w:sz w:val="24"/>
                <w:szCs w:val="24"/>
              </w:rPr>
            </w:pPr>
            <w:r w:rsidRPr="009E37EC">
              <w:rPr>
                <w:rFonts w:ascii="Twinkl" w:eastAsia="Arial" w:hAnsi="Twinkl" w:cs="Arial"/>
                <w:sz w:val="24"/>
                <w:szCs w:val="24"/>
              </w:rPr>
              <w:t>Outcomes</w:t>
            </w:r>
          </w:p>
        </w:tc>
        <w:tc>
          <w:tcPr>
            <w:tcW w:w="1448" w:type="pct"/>
          </w:tcPr>
          <w:p w14:paraId="3F304290" w14:textId="77777777" w:rsidR="00EF0099" w:rsidRPr="009E37EC" w:rsidRDefault="00EF0099" w:rsidP="00130150">
            <w:pPr>
              <w:ind w:left="567" w:right="567"/>
              <w:jc w:val="both"/>
              <w:rPr>
                <w:rFonts w:ascii="Twinkl" w:eastAsia="Arial" w:hAnsi="Twinkl" w:cs="Arial"/>
                <w:sz w:val="24"/>
                <w:szCs w:val="24"/>
              </w:rPr>
            </w:pPr>
            <w:r w:rsidRPr="009E37EC">
              <w:rPr>
                <w:rFonts w:ascii="Twinkl" w:eastAsia="Arial" w:hAnsi="Twinkl" w:cs="Arial"/>
                <w:sz w:val="24"/>
                <w:szCs w:val="24"/>
              </w:rPr>
              <w:t>Timeframe</w:t>
            </w:r>
          </w:p>
        </w:tc>
        <w:tc>
          <w:tcPr>
            <w:tcW w:w="881" w:type="pct"/>
          </w:tcPr>
          <w:p w14:paraId="39765F63" w14:textId="77777777" w:rsidR="00EF0099" w:rsidRPr="009E37EC" w:rsidRDefault="00EF0099" w:rsidP="00130150">
            <w:pPr>
              <w:ind w:left="567" w:right="567"/>
              <w:jc w:val="both"/>
              <w:rPr>
                <w:rFonts w:ascii="Twinkl" w:eastAsia="Arial" w:hAnsi="Twinkl" w:cs="Arial"/>
                <w:sz w:val="24"/>
                <w:szCs w:val="24"/>
              </w:rPr>
            </w:pPr>
            <w:r w:rsidRPr="009E37EC">
              <w:rPr>
                <w:rFonts w:ascii="Twinkl" w:eastAsia="Arial" w:hAnsi="Twinkl" w:cs="Arial"/>
                <w:sz w:val="24"/>
                <w:szCs w:val="24"/>
              </w:rPr>
              <w:t>Achieved</w:t>
            </w:r>
          </w:p>
        </w:tc>
      </w:tr>
      <w:tr w:rsidR="00EF0099" w:rsidRPr="009E37EC" w14:paraId="4C1DFDF9" w14:textId="77777777" w:rsidTr="00EF0099">
        <w:tc>
          <w:tcPr>
            <w:tcW w:w="823" w:type="pct"/>
          </w:tcPr>
          <w:p w14:paraId="709BB949" w14:textId="77777777" w:rsidR="00EF0099" w:rsidRPr="009E37EC" w:rsidRDefault="00EF0099" w:rsidP="00130150">
            <w:pPr>
              <w:spacing w:before="15"/>
              <w:rPr>
                <w:rFonts w:ascii="Twinkl" w:eastAsia="Arial" w:hAnsi="Twinkl" w:cs="Arial"/>
                <w:sz w:val="24"/>
                <w:szCs w:val="24"/>
              </w:rPr>
            </w:pPr>
            <w:r w:rsidRPr="009E37EC">
              <w:rPr>
                <w:rFonts w:ascii="Twinkl" w:eastAsia="Arial" w:hAnsi="Twinkl" w:cs="Arial"/>
                <w:sz w:val="24"/>
                <w:szCs w:val="24"/>
              </w:rPr>
              <w:t>To ensure that the accessibility Plan becomes an annual item at the FGB meetings.</w:t>
            </w:r>
          </w:p>
        </w:tc>
        <w:tc>
          <w:tcPr>
            <w:tcW w:w="926" w:type="pct"/>
          </w:tcPr>
          <w:p w14:paraId="212014A4" w14:textId="77777777" w:rsidR="00EF0099" w:rsidRPr="009E37EC" w:rsidRDefault="00EF0099" w:rsidP="00130150">
            <w:pPr>
              <w:spacing w:before="15"/>
              <w:rPr>
                <w:rFonts w:ascii="Twinkl" w:eastAsia="Arial" w:hAnsi="Twinkl" w:cs="Arial"/>
                <w:sz w:val="24"/>
                <w:szCs w:val="24"/>
              </w:rPr>
            </w:pPr>
            <w:r w:rsidRPr="009E37EC">
              <w:rPr>
                <w:rFonts w:ascii="Twinkl" w:eastAsia="Arial" w:hAnsi="Twinkl" w:cs="Arial"/>
                <w:sz w:val="24"/>
                <w:szCs w:val="24"/>
              </w:rPr>
              <w:t>Clerk to governors to add to list for FGB meetings.</w:t>
            </w:r>
          </w:p>
          <w:p w14:paraId="66C49970" w14:textId="77777777" w:rsidR="00EF0099" w:rsidRPr="009E37EC" w:rsidRDefault="00EF0099" w:rsidP="00130150">
            <w:pPr>
              <w:rPr>
                <w:rFonts w:ascii="Twinkl" w:eastAsia="Arial" w:hAnsi="Twinkl" w:cs="Arial"/>
                <w:sz w:val="24"/>
                <w:szCs w:val="24"/>
              </w:rPr>
            </w:pPr>
          </w:p>
        </w:tc>
        <w:tc>
          <w:tcPr>
            <w:tcW w:w="922" w:type="pct"/>
          </w:tcPr>
          <w:p w14:paraId="1F3F50EE"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Adherence to legislation</w:t>
            </w:r>
          </w:p>
        </w:tc>
        <w:tc>
          <w:tcPr>
            <w:tcW w:w="1448" w:type="pct"/>
          </w:tcPr>
          <w:p w14:paraId="5B107BDF"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Annually</w:t>
            </w:r>
          </w:p>
        </w:tc>
        <w:tc>
          <w:tcPr>
            <w:tcW w:w="881" w:type="pct"/>
          </w:tcPr>
          <w:p w14:paraId="226D09CF" w14:textId="77777777" w:rsidR="00EF0099" w:rsidRPr="009E37EC" w:rsidRDefault="00EF0099" w:rsidP="00130150">
            <w:pPr>
              <w:rPr>
                <w:rFonts w:ascii="Twinkl" w:eastAsia="Arial" w:hAnsi="Twinkl" w:cs="Arial"/>
                <w:sz w:val="24"/>
                <w:szCs w:val="24"/>
              </w:rPr>
            </w:pPr>
          </w:p>
        </w:tc>
      </w:tr>
      <w:tr w:rsidR="00EF0099" w:rsidRPr="009E37EC" w14:paraId="3BA734BA" w14:textId="77777777" w:rsidTr="00EF0099">
        <w:tc>
          <w:tcPr>
            <w:tcW w:w="823" w:type="pct"/>
          </w:tcPr>
          <w:p w14:paraId="35A52701" w14:textId="77777777" w:rsidR="00EF0099" w:rsidRPr="009E37EC" w:rsidRDefault="00EF0099" w:rsidP="00130150">
            <w:pPr>
              <w:spacing w:before="9"/>
              <w:rPr>
                <w:rFonts w:ascii="Twinkl" w:eastAsia="Arial" w:hAnsi="Twinkl" w:cs="Arial"/>
                <w:sz w:val="24"/>
                <w:szCs w:val="24"/>
              </w:rPr>
            </w:pPr>
            <w:r w:rsidRPr="009E37EC">
              <w:rPr>
                <w:rFonts w:ascii="Twinkl" w:eastAsia="Arial" w:hAnsi="Twinkl" w:cs="Arial"/>
                <w:sz w:val="24"/>
                <w:szCs w:val="24"/>
              </w:rPr>
              <w:t>To improve staff awareness of disability issues.</w:t>
            </w:r>
          </w:p>
        </w:tc>
        <w:tc>
          <w:tcPr>
            <w:tcW w:w="926" w:type="pct"/>
          </w:tcPr>
          <w:p w14:paraId="1BD61A45" w14:textId="77777777" w:rsidR="00EF0099" w:rsidRPr="009E37EC" w:rsidRDefault="00EF0099" w:rsidP="00130150">
            <w:pPr>
              <w:spacing w:before="9"/>
              <w:rPr>
                <w:rFonts w:ascii="Twinkl" w:eastAsia="Arial" w:hAnsi="Twinkl" w:cs="Arial"/>
                <w:sz w:val="24"/>
                <w:szCs w:val="24"/>
              </w:rPr>
            </w:pPr>
            <w:r w:rsidRPr="009E37EC">
              <w:rPr>
                <w:rFonts w:ascii="Twinkl" w:eastAsia="Arial" w:hAnsi="Twinkl" w:cs="Arial"/>
                <w:sz w:val="24"/>
                <w:szCs w:val="24"/>
              </w:rPr>
              <w:t>Review staff training needs. Provide</w:t>
            </w:r>
          </w:p>
          <w:p w14:paraId="7FBA98C9"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training for members of the school</w:t>
            </w:r>
          </w:p>
          <w:p w14:paraId="3484616A"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community as appropriate.</w:t>
            </w:r>
          </w:p>
        </w:tc>
        <w:tc>
          <w:tcPr>
            <w:tcW w:w="922" w:type="pct"/>
          </w:tcPr>
          <w:p w14:paraId="5599E5DD"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Whole school community aware of issues.</w:t>
            </w:r>
          </w:p>
        </w:tc>
        <w:tc>
          <w:tcPr>
            <w:tcW w:w="1448" w:type="pct"/>
          </w:tcPr>
          <w:p w14:paraId="0C143EA2" w14:textId="77777777" w:rsidR="00EF0099" w:rsidRPr="009E37EC" w:rsidRDefault="00EF0099" w:rsidP="00130150">
            <w:pPr>
              <w:spacing w:before="9"/>
              <w:jc w:val="both"/>
              <w:rPr>
                <w:rFonts w:ascii="Twinkl" w:eastAsia="Arial" w:hAnsi="Twinkl" w:cs="Arial"/>
                <w:sz w:val="24"/>
                <w:szCs w:val="24"/>
              </w:rPr>
            </w:pPr>
            <w:r w:rsidRPr="009E37EC">
              <w:rPr>
                <w:rFonts w:ascii="Twinkl" w:eastAsia="Arial" w:hAnsi="Twinkl" w:cs="Arial"/>
                <w:sz w:val="24"/>
                <w:szCs w:val="24"/>
              </w:rPr>
              <w:t>On-going throughout</w:t>
            </w:r>
          </w:p>
          <w:p w14:paraId="7FB37D2D" w14:textId="77777777" w:rsidR="00EF0099" w:rsidRPr="009E37EC" w:rsidRDefault="00EF0099" w:rsidP="00130150">
            <w:pPr>
              <w:jc w:val="both"/>
              <w:rPr>
                <w:rFonts w:ascii="Twinkl" w:eastAsia="Arial" w:hAnsi="Twinkl" w:cs="Arial"/>
                <w:sz w:val="24"/>
                <w:szCs w:val="24"/>
              </w:rPr>
            </w:pPr>
            <w:r w:rsidRPr="009E37EC">
              <w:rPr>
                <w:rFonts w:ascii="Twinkl" w:eastAsia="Arial" w:hAnsi="Twinkl" w:cs="Arial"/>
                <w:sz w:val="24"/>
                <w:szCs w:val="24"/>
              </w:rPr>
              <w:t>2019 - 2021</w:t>
            </w:r>
          </w:p>
          <w:p w14:paraId="23D62D9F" w14:textId="77777777" w:rsidR="00EF0099" w:rsidRPr="009E37EC" w:rsidRDefault="00EF0099" w:rsidP="00130150">
            <w:pPr>
              <w:rPr>
                <w:rFonts w:ascii="Twinkl" w:eastAsia="Arial" w:hAnsi="Twinkl" w:cs="Arial"/>
                <w:sz w:val="24"/>
                <w:szCs w:val="24"/>
              </w:rPr>
            </w:pPr>
          </w:p>
        </w:tc>
        <w:tc>
          <w:tcPr>
            <w:tcW w:w="881" w:type="pct"/>
          </w:tcPr>
          <w:p w14:paraId="6AA0F36B" w14:textId="77777777" w:rsidR="00EF0099" w:rsidRPr="009E37EC" w:rsidRDefault="00EF0099" w:rsidP="00130150">
            <w:pPr>
              <w:rPr>
                <w:rFonts w:ascii="Twinkl" w:eastAsia="Arial" w:hAnsi="Twinkl" w:cs="Arial"/>
                <w:sz w:val="24"/>
                <w:szCs w:val="24"/>
              </w:rPr>
            </w:pPr>
          </w:p>
        </w:tc>
      </w:tr>
      <w:tr w:rsidR="00EF0099" w:rsidRPr="009E37EC" w14:paraId="318251BA" w14:textId="77777777" w:rsidTr="00EF0099">
        <w:tc>
          <w:tcPr>
            <w:tcW w:w="823" w:type="pct"/>
          </w:tcPr>
          <w:p w14:paraId="189E89C8"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To ensure that all statutory policies reflect inclusive practice and procedure.</w:t>
            </w:r>
          </w:p>
        </w:tc>
        <w:tc>
          <w:tcPr>
            <w:tcW w:w="926" w:type="pct"/>
          </w:tcPr>
          <w:p w14:paraId="151878B4"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Consider during review of policies.</w:t>
            </w:r>
          </w:p>
        </w:tc>
        <w:tc>
          <w:tcPr>
            <w:tcW w:w="922" w:type="pct"/>
          </w:tcPr>
          <w:p w14:paraId="66DB49F6"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Policies reflect current legislation. School complies with Equality Act 2016.</w:t>
            </w:r>
          </w:p>
        </w:tc>
        <w:tc>
          <w:tcPr>
            <w:tcW w:w="1448" w:type="pct"/>
          </w:tcPr>
          <w:p w14:paraId="05B14188"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Ongoing throughout 2019 - 2021</w:t>
            </w:r>
          </w:p>
        </w:tc>
        <w:tc>
          <w:tcPr>
            <w:tcW w:w="881" w:type="pct"/>
          </w:tcPr>
          <w:p w14:paraId="7C2BA5BE" w14:textId="77777777" w:rsidR="00EF0099" w:rsidRPr="009E37EC" w:rsidRDefault="00EF0099" w:rsidP="00130150">
            <w:pPr>
              <w:rPr>
                <w:rFonts w:ascii="Twinkl" w:eastAsia="Arial" w:hAnsi="Twinkl" w:cs="Arial"/>
                <w:sz w:val="24"/>
                <w:szCs w:val="24"/>
              </w:rPr>
            </w:pPr>
          </w:p>
        </w:tc>
      </w:tr>
      <w:tr w:rsidR="00EF0099" w:rsidRPr="009E37EC" w14:paraId="1843F3D9" w14:textId="77777777" w:rsidTr="00EF0099">
        <w:tc>
          <w:tcPr>
            <w:tcW w:w="823" w:type="pct"/>
          </w:tcPr>
          <w:p w14:paraId="6F860F07" w14:textId="77777777" w:rsidR="00EF0099" w:rsidRPr="009E37EC" w:rsidRDefault="00EF0099" w:rsidP="00130150">
            <w:pPr>
              <w:spacing w:before="9"/>
              <w:rPr>
                <w:rFonts w:ascii="Twinkl" w:eastAsia="Arial" w:hAnsi="Twinkl" w:cs="Arial"/>
                <w:sz w:val="24"/>
                <w:szCs w:val="24"/>
              </w:rPr>
            </w:pPr>
            <w:r w:rsidRPr="009E37EC">
              <w:rPr>
                <w:rFonts w:ascii="Twinkl" w:eastAsia="Arial" w:hAnsi="Twinkl" w:cs="Arial"/>
                <w:sz w:val="24"/>
                <w:szCs w:val="24"/>
              </w:rPr>
              <w:t>To establish close liaison with outside agencies for pupils with ongoing health needs e.g. children with asthma, epilepsy or mobility issues.</w:t>
            </w:r>
          </w:p>
        </w:tc>
        <w:tc>
          <w:tcPr>
            <w:tcW w:w="926" w:type="pct"/>
          </w:tcPr>
          <w:p w14:paraId="04FB842C"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To ensure collaboration between all key personnel.</w:t>
            </w:r>
          </w:p>
          <w:p w14:paraId="400A2C94"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 xml:space="preserve">HT, </w:t>
            </w:r>
            <w:proofErr w:type="spellStart"/>
            <w:r w:rsidRPr="009E37EC">
              <w:rPr>
                <w:rFonts w:ascii="Twinkl" w:eastAsia="Arial" w:hAnsi="Twinkl" w:cs="Arial"/>
                <w:sz w:val="24"/>
                <w:szCs w:val="24"/>
              </w:rPr>
              <w:t>SENCo</w:t>
            </w:r>
            <w:proofErr w:type="spellEnd"/>
            <w:r w:rsidRPr="009E37EC">
              <w:rPr>
                <w:rFonts w:ascii="Twinkl" w:eastAsia="Arial" w:hAnsi="Twinkl" w:cs="Arial"/>
                <w:sz w:val="24"/>
                <w:szCs w:val="24"/>
              </w:rPr>
              <w:t>, Inclusion AH, TAs, Outside Agencies.</w:t>
            </w:r>
          </w:p>
          <w:p w14:paraId="615D0421" w14:textId="77777777" w:rsidR="00EF0099" w:rsidRPr="009E37EC" w:rsidRDefault="00EF0099" w:rsidP="00130150">
            <w:pPr>
              <w:jc w:val="both"/>
              <w:rPr>
                <w:rFonts w:ascii="Twinkl" w:eastAsia="Arial" w:hAnsi="Twinkl" w:cs="Arial"/>
                <w:sz w:val="24"/>
                <w:szCs w:val="24"/>
              </w:rPr>
            </w:pPr>
            <w:bookmarkStart w:id="0" w:name="_GoBack"/>
            <w:bookmarkEnd w:id="0"/>
          </w:p>
        </w:tc>
        <w:tc>
          <w:tcPr>
            <w:tcW w:w="922" w:type="pct"/>
          </w:tcPr>
          <w:p w14:paraId="48744213" w14:textId="77777777" w:rsidR="00EF0099" w:rsidRPr="009E37EC" w:rsidRDefault="00EF0099" w:rsidP="00130150">
            <w:pPr>
              <w:jc w:val="both"/>
              <w:rPr>
                <w:rFonts w:ascii="Twinkl" w:eastAsia="Arial" w:hAnsi="Twinkl" w:cs="Arial"/>
                <w:sz w:val="24"/>
                <w:szCs w:val="24"/>
              </w:rPr>
            </w:pPr>
            <w:r w:rsidRPr="009E37EC">
              <w:rPr>
                <w:rFonts w:ascii="Twinkl" w:eastAsia="Arial" w:hAnsi="Twinkl" w:cs="Arial"/>
                <w:sz w:val="24"/>
                <w:szCs w:val="24"/>
              </w:rPr>
              <w:t>Clear collaborative working approach.</w:t>
            </w:r>
          </w:p>
          <w:p w14:paraId="2F17B5CF" w14:textId="77777777" w:rsidR="00EF0099" w:rsidRPr="009E37EC" w:rsidRDefault="00EF0099" w:rsidP="00130150">
            <w:pPr>
              <w:rPr>
                <w:rFonts w:ascii="Twinkl" w:eastAsia="Arial" w:hAnsi="Twinkl" w:cs="Arial"/>
                <w:sz w:val="24"/>
                <w:szCs w:val="24"/>
              </w:rPr>
            </w:pPr>
          </w:p>
        </w:tc>
        <w:tc>
          <w:tcPr>
            <w:tcW w:w="1448" w:type="pct"/>
          </w:tcPr>
          <w:p w14:paraId="3BA6970C" w14:textId="77777777" w:rsidR="00EF0099" w:rsidRPr="009E37EC" w:rsidRDefault="00EF0099" w:rsidP="00130150">
            <w:pPr>
              <w:rPr>
                <w:rFonts w:ascii="Twinkl" w:eastAsia="Arial" w:hAnsi="Twinkl" w:cs="Arial"/>
                <w:sz w:val="24"/>
                <w:szCs w:val="24"/>
              </w:rPr>
            </w:pPr>
            <w:r w:rsidRPr="009E37EC">
              <w:rPr>
                <w:rFonts w:ascii="Twinkl" w:eastAsia="Arial" w:hAnsi="Twinkl" w:cs="Arial"/>
                <w:sz w:val="24"/>
                <w:szCs w:val="24"/>
              </w:rPr>
              <w:t>Ongoing throughout 2019 - 2021</w:t>
            </w:r>
          </w:p>
        </w:tc>
        <w:tc>
          <w:tcPr>
            <w:tcW w:w="881" w:type="pct"/>
          </w:tcPr>
          <w:p w14:paraId="00FD80D4" w14:textId="77777777" w:rsidR="00EF0099" w:rsidRPr="009E37EC" w:rsidRDefault="00EF0099" w:rsidP="00130150">
            <w:pPr>
              <w:rPr>
                <w:rFonts w:ascii="Twinkl" w:eastAsia="Arial" w:hAnsi="Twinkl" w:cs="Arial"/>
                <w:sz w:val="24"/>
                <w:szCs w:val="24"/>
              </w:rPr>
            </w:pPr>
          </w:p>
        </w:tc>
      </w:tr>
    </w:tbl>
    <w:p w14:paraId="4E7AE767" w14:textId="77777777" w:rsidR="00432895" w:rsidRDefault="00EF0099"/>
    <w:sectPr w:rsidR="00432895" w:rsidSect="00EF009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506E"/>
    <w:multiLevelType w:val="hybridMultilevel"/>
    <w:tmpl w:val="6114AF2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99"/>
    <w:rsid w:val="00497238"/>
    <w:rsid w:val="007341B8"/>
    <w:rsid w:val="009A65E9"/>
    <w:rsid w:val="00EF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668"/>
  <w15:chartTrackingRefBased/>
  <w15:docId w15:val="{9BAE3ECE-619F-4C32-A90A-49917EBA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heme="minorHAnsi" w:hAnsi="Twink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09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99"/>
    <w:pPr>
      <w:ind w:left="720"/>
      <w:contextualSpacing/>
    </w:pPr>
  </w:style>
  <w:style w:type="table" w:styleId="TableGrid">
    <w:name w:val="Table Grid"/>
    <w:basedOn w:val="TableNormal"/>
    <w:uiPriority w:val="59"/>
    <w:unhideWhenUsed/>
    <w:rsid w:val="00EF00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3056C8B7</Template>
  <TotalTime>2</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Haggett</dc:creator>
  <cp:keywords/>
  <dc:description/>
  <cp:lastModifiedBy>S Haggett</cp:lastModifiedBy>
  <cp:revision>1</cp:revision>
  <dcterms:created xsi:type="dcterms:W3CDTF">2019-10-28T21:28:00Z</dcterms:created>
  <dcterms:modified xsi:type="dcterms:W3CDTF">2019-10-28T21:30:00Z</dcterms:modified>
</cp:coreProperties>
</file>